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BD" w:rsidRDefault="001C41EA">
      <w:pPr>
        <w:pStyle w:val="aff"/>
        <w:ind w:firstLine="72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ПОЯСНИТЕЛЬНАЯ ЗАПИСКА</w:t>
      </w:r>
    </w:p>
    <w:p w:rsidR="003869BD" w:rsidRDefault="001C41EA">
      <w:pPr>
        <w:pStyle w:val="aff"/>
        <w:ind w:firstLine="720"/>
        <w:jc w:val="center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>к отчету об исполнении консолидированного бюджета</w:t>
      </w:r>
    </w:p>
    <w:p w:rsidR="003869BD" w:rsidRDefault="001C41EA">
      <w:pPr>
        <w:pStyle w:val="aff"/>
        <w:ind w:firstLine="72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Саратовской области </w:t>
      </w:r>
      <w:r>
        <w:rPr>
          <w:rFonts w:ascii="PT Astra Serif" w:hAnsi="PT Astra Serif" w:cs="PT Astra Serif"/>
          <w:sz w:val="28"/>
          <w:szCs w:val="28"/>
          <w:highlight w:val="white"/>
        </w:rPr>
        <w:t>на 1 января 2025 года</w:t>
      </w:r>
    </w:p>
    <w:p w:rsidR="003869BD" w:rsidRDefault="003869BD">
      <w:pPr>
        <w:pStyle w:val="aff"/>
        <w:ind w:firstLine="720"/>
        <w:jc w:val="center"/>
        <w:rPr>
          <w:rFonts w:ascii="PT Astra Serif" w:hAnsi="PT Astra Serif" w:cs="PT Astra Serif"/>
          <w:sz w:val="28"/>
          <w:szCs w:val="28"/>
          <w:highlight w:val="cyan"/>
        </w:rPr>
      </w:pPr>
    </w:p>
    <w:tbl>
      <w:tblPr>
        <w:tblW w:w="9411" w:type="dxa"/>
        <w:tblInd w:w="91" w:type="dxa"/>
        <w:tblLook w:val="04A0" w:firstRow="1" w:lastRow="0" w:firstColumn="1" w:lastColumn="0" w:noHBand="0" w:noVBand="1"/>
      </w:tblPr>
      <w:tblGrid>
        <w:gridCol w:w="2756"/>
        <w:gridCol w:w="3415"/>
        <w:gridCol w:w="1873"/>
        <w:gridCol w:w="1476"/>
      </w:tblGrid>
      <w:tr w:rsidR="003869BD">
        <w:trPr>
          <w:trHeight w:val="313"/>
        </w:trPr>
        <w:tc>
          <w:tcPr>
            <w:tcW w:w="2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869BD" w:rsidRDefault="003869BD"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4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869BD" w:rsidRDefault="003869BD"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69BD" w:rsidRDefault="003869BD">
            <w:pPr>
              <w:jc w:val="center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КОДЫ</w:t>
            </w:r>
          </w:p>
        </w:tc>
      </w:tr>
      <w:tr w:rsidR="003869BD">
        <w:trPr>
          <w:trHeight w:val="223"/>
        </w:trPr>
        <w:tc>
          <w:tcPr>
            <w:tcW w:w="2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34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Форма по ОКУД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0503360</w:t>
            </w:r>
          </w:p>
        </w:tc>
      </w:tr>
      <w:tr w:rsidR="003869BD">
        <w:trPr>
          <w:trHeight w:val="268"/>
        </w:trPr>
        <w:tc>
          <w:tcPr>
            <w:tcW w:w="2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34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Дата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  <w:t>01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.01.20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  <w:lang w:val="en-US"/>
              </w:rPr>
              <w:t>2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5</w:t>
            </w:r>
          </w:p>
        </w:tc>
      </w:tr>
      <w:tr w:rsidR="003869BD">
        <w:trPr>
          <w:trHeight w:val="372"/>
        </w:trPr>
        <w:tc>
          <w:tcPr>
            <w:tcW w:w="2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34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по ОКПО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69BD" w:rsidRDefault="003869BD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</w:tr>
      <w:tr w:rsidR="003869BD">
        <w:trPr>
          <w:trHeight w:val="223"/>
        </w:trPr>
        <w:tc>
          <w:tcPr>
            <w:tcW w:w="2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Наименование финансового органа</w:t>
            </w:r>
          </w:p>
        </w:tc>
        <w:tc>
          <w:tcPr>
            <w:tcW w:w="341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Министерство финансов Саратовской области</w:t>
            </w: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Глава по БК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69BD" w:rsidRDefault="003869BD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</w:tr>
      <w:tr w:rsidR="003869BD">
        <w:trPr>
          <w:trHeight w:val="298"/>
        </w:trPr>
        <w:tc>
          <w:tcPr>
            <w:tcW w:w="27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Наименование бюджета</w:t>
            </w:r>
          </w:p>
        </w:tc>
        <w:tc>
          <w:tcPr>
            <w:tcW w:w="341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Консолидированный бюджет</w:t>
            </w: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по ОКТМО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63701000</w:t>
            </w:r>
          </w:p>
        </w:tc>
      </w:tr>
      <w:tr w:rsidR="003869BD">
        <w:trPr>
          <w:trHeight w:val="298"/>
        </w:trPr>
        <w:tc>
          <w:tcPr>
            <w:tcW w:w="61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1C41EA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Периодичность: годовая</w:t>
            </w: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869BD" w:rsidRDefault="003869BD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69BD" w:rsidRDefault="003869BD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</w:p>
        </w:tc>
      </w:tr>
      <w:tr w:rsidR="003869BD">
        <w:trPr>
          <w:trHeight w:val="298"/>
        </w:trPr>
        <w:tc>
          <w:tcPr>
            <w:tcW w:w="617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Единица измерения: руб.</w:t>
            </w:r>
          </w:p>
        </w:tc>
        <w:tc>
          <w:tcPr>
            <w:tcW w:w="18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по ОКЕИ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383</w:t>
            </w:r>
          </w:p>
        </w:tc>
      </w:tr>
    </w:tbl>
    <w:p w:rsidR="003869BD" w:rsidRDefault="003869BD">
      <w:pPr>
        <w:jc w:val="center"/>
        <w:rPr>
          <w:rFonts w:ascii="PT Astra Serif" w:hAnsi="PT Astra Serif" w:cs="PT Astra Serif"/>
          <w:b/>
          <w:bCs/>
          <w:sz w:val="28"/>
          <w:szCs w:val="28"/>
          <w:highlight w:val="cyan"/>
        </w:rPr>
      </w:pPr>
    </w:p>
    <w:p w:rsidR="003869BD" w:rsidRDefault="001C41EA">
      <w:pPr>
        <w:spacing w:line="245" w:lineRule="auto"/>
        <w:jc w:val="center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>Раздел 1 «Организационная структура субъекта бюджетной отчетности»</w:t>
      </w:r>
    </w:p>
    <w:p w:rsidR="003869BD" w:rsidRDefault="003869BD">
      <w:pPr>
        <w:spacing w:line="245" w:lineRule="auto"/>
        <w:ind w:firstLine="720"/>
        <w:jc w:val="center"/>
        <w:rPr>
          <w:rFonts w:ascii="PT Astra Serif" w:hAnsi="PT Astra Serif" w:cs="PT Astra Serif"/>
          <w:b/>
          <w:bCs/>
          <w:sz w:val="20"/>
          <w:highlight w:val="white"/>
        </w:rPr>
      </w:pPr>
    </w:p>
    <w:p w:rsidR="003869BD" w:rsidRDefault="001C41EA">
      <w:pPr>
        <w:spacing w:line="245" w:lineRule="auto"/>
        <w:ind w:left="-425" w:firstLine="72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консолидированного бюджета Саратовской области.</w:t>
      </w:r>
    </w:p>
    <w:p w:rsidR="003869BD" w:rsidRDefault="001C41EA">
      <w:pPr>
        <w:spacing w:line="245" w:lineRule="auto"/>
        <w:ind w:left="-425"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Годовая бюд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жетная отчетность за 2024 год составлена на основании соответствующей бюджетной отчетности 43 главных распорядителей средств областного бюджета, консолидированной отчетности финансовых органов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br/>
        <w:t>37 муниципальных районов области, отчетности финансовых органо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в 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br/>
        <w:t>4-х городских округов области, Территориального фонда обязательного медицинского страхования Саратовской области и 7 федеральных администраторов поступлений областного и местных бюджетов.</w:t>
      </w:r>
    </w:p>
    <w:p w:rsidR="003869BD" w:rsidRDefault="001C41EA">
      <w:pPr>
        <w:spacing w:line="245" w:lineRule="auto"/>
        <w:ind w:left="-425"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 состоянию на 1 января 2024 года на территории области функцион</w:t>
      </w:r>
      <w:r>
        <w:rPr>
          <w:rFonts w:ascii="PT Astra Serif" w:hAnsi="PT Astra Serif" w:cs="PT Astra Serif"/>
          <w:sz w:val="28"/>
          <w:szCs w:val="28"/>
        </w:rPr>
        <w:t>ировало 1006 участников бюджетного процесса и 2043 областных и муниципальных бюджетных и автономных учреждений, 149 унитарных предприятий, в том числе 5 государственных и 144 муниципальных унитарных предприятий.</w:t>
      </w:r>
    </w:p>
    <w:p w:rsidR="003869BD" w:rsidRDefault="001C41EA">
      <w:pPr>
        <w:spacing w:line="245" w:lineRule="auto"/>
        <w:ind w:left="-425"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течение 2024 года за счет проводимых мер п</w:t>
      </w:r>
      <w:r>
        <w:rPr>
          <w:rFonts w:ascii="PT Astra Serif" w:hAnsi="PT Astra Serif" w:cs="PT Astra Serif"/>
          <w:sz w:val="28"/>
          <w:szCs w:val="28"/>
        </w:rPr>
        <w:t>о оптимизации сети учреждений бюджетной сферы общее количество бюджетных и автономных учреждений сократилось на 4 единицы. Общее число участников бюджетного процесса уменьшилось на 19 единиц. Общее число государственных (муниципальных) унитарных предприяти</w:t>
      </w:r>
      <w:r>
        <w:rPr>
          <w:rFonts w:ascii="PT Astra Serif" w:hAnsi="PT Astra Serif" w:cs="PT Astra Serif"/>
          <w:sz w:val="28"/>
          <w:szCs w:val="28"/>
        </w:rPr>
        <w:t>й сократилось на 73 единице.</w:t>
      </w:r>
    </w:p>
    <w:p w:rsidR="003869BD" w:rsidRDefault="001C41EA">
      <w:pPr>
        <w:spacing w:line="245" w:lineRule="auto"/>
        <w:ind w:left="-426" w:firstLine="72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</w:rPr>
        <w:t>По состоянию на 1 января 2025 года на территории области функционировало 987 участников бюджетного процесса области и органов местного самоуправления и 2039 бюджетных и автономных областных и муниципальных учреждений, 76 унитар</w:t>
      </w:r>
      <w:r>
        <w:rPr>
          <w:rFonts w:ascii="PT Astra Serif" w:hAnsi="PT Astra Serif" w:cs="PT Astra Serif"/>
          <w:sz w:val="28"/>
          <w:szCs w:val="28"/>
        </w:rPr>
        <w:t>ных предприятий, в том числе 4 государственных и 72 муниципальных унитарных предприятий.</w:t>
      </w:r>
    </w:p>
    <w:p w:rsidR="003869BD" w:rsidRDefault="003869BD">
      <w:pPr>
        <w:spacing w:line="245" w:lineRule="auto"/>
        <w:jc w:val="center"/>
        <w:rPr>
          <w:rFonts w:ascii="PT Astra Serif" w:hAnsi="PT Astra Serif" w:cs="PT Astra Serif"/>
          <w:b/>
          <w:bCs/>
          <w:sz w:val="20"/>
          <w:highlight w:val="white"/>
        </w:rPr>
      </w:pPr>
    </w:p>
    <w:p w:rsidR="003869BD" w:rsidRDefault="001C41EA">
      <w:pPr>
        <w:spacing w:line="245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>Раздел 2 «Результаты деятельности субъекта бюджетной отчетности»</w:t>
      </w:r>
    </w:p>
    <w:p w:rsidR="003869BD" w:rsidRDefault="003869BD">
      <w:pPr>
        <w:spacing w:line="245" w:lineRule="auto"/>
        <w:jc w:val="center"/>
        <w:rPr>
          <w:rFonts w:ascii="PT Astra Serif" w:hAnsi="PT Astra Serif" w:cs="PT Astra Serif"/>
          <w:b/>
          <w:bCs/>
          <w:sz w:val="20"/>
          <w:highlight w:val="cyan"/>
        </w:rPr>
      </w:pPr>
    </w:p>
    <w:p w:rsidR="003869BD" w:rsidRDefault="001C41EA">
      <w:pPr>
        <w:shd w:val="clear" w:color="auto" w:fill="FFFFFF"/>
        <w:spacing w:line="245" w:lineRule="auto"/>
        <w:ind w:firstLine="70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Формирование бухгалтерской отчетности 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существляется в соответствии с приказами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бюджетной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системы Российской Федерации», от 25 марта 2011 года </w:t>
      </w:r>
      <w:r>
        <w:rPr>
          <w:rFonts w:ascii="PT Astra Serif" w:hAnsi="PT Astra Serif" w:cs="PT Astra Serif"/>
          <w:sz w:val="28"/>
          <w:szCs w:val="28"/>
          <w:highlight w:val="white"/>
        </w:rPr>
        <w:br/>
        <w:t>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учреждений», действующими федер</w:t>
      </w:r>
      <w:r>
        <w:rPr>
          <w:rFonts w:ascii="PT Astra Serif" w:hAnsi="PT Astra Serif" w:cs="PT Astra Serif"/>
          <w:sz w:val="28"/>
          <w:szCs w:val="28"/>
          <w:highlight w:val="white"/>
        </w:rPr>
        <w:t>альными стандартами.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pacing w:val="-6"/>
          <w:sz w:val="28"/>
          <w:szCs w:val="28"/>
          <w:highlight w:val="white"/>
        </w:rPr>
      </w:pP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>В целях повышения эффективности расходования бюджетных средств субъектами бюджетной отчетности приняты распорядительные документы по применению энергосберегающей технологии (установка счетчиков воды и тепла), установлению лимитов на ус</w:t>
      </w:r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луги сотовой связи, введению нормативов при обеспечении канцелярскими принадлежностями и основными средствами, осуществлению </w:t>
      </w:r>
      <w:proofErr w:type="gramStart"/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>контроля за</w:t>
      </w:r>
      <w:proofErr w:type="gramEnd"/>
      <w:r>
        <w:rPr>
          <w:rFonts w:ascii="PT Astra Serif" w:hAnsi="PT Astra Serif" w:cs="PT Astra Serif"/>
          <w:spacing w:val="-6"/>
          <w:sz w:val="28"/>
          <w:szCs w:val="28"/>
          <w:highlight w:val="white"/>
        </w:rPr>
        <w:t xml:space="preserve"> ведением междугородных переговоров сотрудников и т.д.</w:t>
      </w:r>
    </w:p>
    <w:p w:rsidR="003869BD" w:rsidRDefault="003869BD">
      <w:pPr>
        <w:spacing w:line="245" w:lineRule="auto"/>
        <w:ind w:firstLine="709"/>
        <w:jc w:val="both"/>
        <w:rPr>
          <w:rFonts w:ascii="PT Astra Serif" w:hAnsi="PT Astra Serif" w:cs="PT Astra Serif"/>
          <w:spacing w:val="-6"/>
          <w:sz w:val="20"/>
          <w:highlight w:val="cyan"/>
        </w:rPr>
      </w:pPr>
    </w:p>
    <w:p w:rsidR="003869BD" w:rsidRDefault="001C41EA">
      <w:pPr>
        <w:spacing w:line="245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  <w:highlight w:val="white"/>
        </w:rPr>
        <w:t>Раздел 3 «Анализ отчета об исполнении бюджета субъектом бюджетно</w:t>
      </w:r>
      <w:r>
        <w:rPr>
          <w:rFonts w:ascii="PT Astra Serif" w:hAnsi="PT Astra Serif" w:cs="PT Astra Serif"/>
          <w:b/>
          <w:sz w:val="28"/>
          <w:szCs w:val="28"/>
          <w:highlight w:val="white"/>
        </w:rPr>
        <w:t xml:space="preserve">й отчетности» </w:t>
      </w:r>
    </w:p>
    <w:p w:rsidR="003869BD" w:rsidRDefault="003869BD">
      <w:pPr>
        <w:spacing w:line="245" w:lineRule="auto"/>
        <w:jc w:val="center"/>
        <w:rPr>
          <w:rFonts w:ascii="PT Astra Serif" w:hAnsi="PT Astra Serif" w:cs="PT Astra Serif"/>
          <w:b/>
          <w:bCs/>
          <w:sz w:val="20"/>
          <w:highlight w:val="white"/>
        </w:rPr>
      </w:pPr>
    </w:p>
    <w:p w:rsidR="003869BD" w:rsidRDefault="001C41EA">
      <w:pPr>
        <w:spacing w:line="245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По итогам 2024 года объем налоговых и неналоговых доходов консолидированного бюджета области (без учета Территориального фонда обязательного медицинского страхования Саратовской области (далее – ТФОМС)) составил 166062168,3 тыс. рублей и от</w:t>
      </w:r>
      <w:r>
        <w:rPr>
          <w:rFonts w:ascii="PT Astra Serif" w:hAnsi="PT Astra Serif" w:cs="PT Astra Serif"/>
          <w:sz w:val="28"/>
          <w:szCs w:val="28"/>
          <w:highlight w:val="white"/>
        </w:rPr>
        <w:t>носительно 2023 года увеличился на 25190469,0 тыс. рублей, или на 17,9%. Уточненные бюджетные назначения исполнены на 101,6%.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Объем налога на прибыль организаций составил 42955704,1 тыс. рублей, за счет налога обеспечено 25,9% общего объема налоговых и нен</w:t>
      </w:r>
      <w:r>
        <w:rPr>
          <w:rFonts w:ascii="PT Astra Serif" w:hAnsi="PT Astra Serif" w:cs="PT Astra Serif"/>
          <w:sz w:val="28"/>
          <w:szCs w:val="28"/>
        </w:rPr>
        <w:t>алоговых доходов бюджета, что на 1,8 процентных пункта ниже данного показателя за 2023 год (27,7%). Относительно факта за 2023 год поступления по налогу на прибыль организаций возросли на 3951520,6 тыс. рублей, или на 10,1%. Основной прирост по налогу на п</w:t>
      </w:r>
      <w:r>
        <w:rPr>
          <w:rFonts w:ascii="PT Astra Serif" w:hAnsi="PT Astra Serif" w:cs="PT Astra Serif"/>
          <w:sz w:val="28"/>
          <w:szCs w:val="28"/>
        </w:rPr>
        <w:t xml:space="preserve">рибыль </w:t>
      </w:r>
      <w:proofErr w:type="gramStart"/>
      <w:r>
        <w:rPr>
          <w:rFonts w:ascii="PT Astra Serif" w:hAnsi="PT Astra Serif" w:cs="PT Astra Serif"/>
          <w:sz w:val="28"/>
          <w:szCs w:val="28"/>
        </w:rPr>
        <w:t>обеспечен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организациями, занятыми в строительстве. За счет миграции крупных налогоплательщиков из иных субъектов Российской Федерации по виду экономической деятельности – «Деятельность заказчика-застройщика, генерального подрядчика» доходы по налогу</w:t>
      </w:r>
      <w:r>
        <w:rPr>
          <w:rFonts w:ascii="PT Astra Serif" w:hAnsi="PT Astra Serif" w:cs="PT Astra Serif"/>
          <w:sz w:val="28"/>
          <w:szCs w:val="28"/>
        </w:rPr>
        <w:t xml:space="preserve"> по итогам 2024 года относительно уровня 2023 года увеличились на 7684991,6 тыс. рублей, в 24,5 раза.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 основному для консолидированного бюджета налогу на доходы физических лиц поступление составило 63872239,0 тыс. рублей, увеличение относительно 2023 год</w:t>
      </w:r>
      <w:r>
        <w:rPr>
          <w:rFonts w:ascii="PT Astra Serif" w:hAnsi="PT Astra Serif" w:cs="PT Astra Serif"/>
          <w:sz w:val="28"/>
          <w:szCs w:val="28"/>
        </w:rPr>
        <w:t>а на 11332287,2 тыс. рублей, или на 21,6%. Структурная доля налога в общем объеме налоговых и неналоговых доходов бюджета составила 38,5%, на 1,2 процентных пункта выше данного показателя за 2023 год (37,3%).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Доходы от акцизов составили 16589561,6 тыс. руб</w:t>
      </w:r>
      <w:r>
        <w:rPr>
          <w:rFonts w:ascii="PT Astra Serif" w:hAnsi="PT Astra Serif" w:cs="PT Astra Serif"/>
          <w:sz w:val="28"/>
          <w:szCs w:val="28"/>
        </w:rPr>
        <w:t xml:space="preserve">лей, относительно 2023 года прирост составил 1134391,5 тыс. рублей, или 7,3%. В том числе акцизы на алкогольную продукцию (включая спирт и спиртосодержащую продукцию) </w:t>
      </w:r>
      <w:r>
        <w:rPr>
          <w:rFonts w:ascii="PT Astra Serif" w:hAnsi="PT Astra Serif" w:cs="PT Astra Serif"/>
          <w:sz w:val="28"/>
          <w:szCs w:val="28"/>
        </w:rPr>
        <w:lastRenderedPageBreak/>
        <w:t>увеличились на 36203,8 тыс. рублей, или на 1,4%, акцизы на нефтепродукты – на 1088083,1 т</w:t>
      </w:r>
      <w:r>
        <w:rPr>
          <w:rFonts w:ascii="PT Astra Serif" w:hAnsi="PT Astra Serif" w:cs="PT Astra Serif"/>
          <w:sz w:val="28"/>
          <w:szCs w:val="28"/>
        </w:rPr>
        <w:t>ыс. рублей, или на 8,5%.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Поступление по налогам на совокупный доход составило 13930396,2 тыс. рублей, на 4023508,3 тыс. рублей, или 40,6%, выше уровня 2023 года. Вклад доходов, поступающих от применения специальных налоговых режимов, возрос с 7,0% по итога</w:t>
      </w:r>
      <w:r>
        <w:rPr>
          <w:rFonts w:ascii="PT Astra Serif" w:hAnsi="PT Astra Serif" w:cs="PT Astra Serif"/>
          <w:sz w:val="28"/>
          <w:szCs w:val="28"/>
        </w:rPr>
        <w:t>м 2023 года до 8,4% в 2024 году. При этом положительная динамика по всем специальным налоговым режимам, по упрощенной системе налогообложения рост на 38,0%, единому сельскохозяйственному налогу – на 27,0%, налогу, взимаемому в связи с применением патентной</w:t>
      </w:r>
      <w:r>
        <w:rPr>
          <w:rFonts w:ascii="PT Astra Serif" w:hAnsi="PT Astra Serif" w:cs="PT Astra Serif"/>
          <w:sz w:val="28"/>
          <w:szCs w:val="28"/>
        </w:rPr>
        <w:t xml:space="preserve"> системы налогообложения, – в 2,4 раза, налогу на профессиональный доход – в 1,9 раза.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Поступление по налогу на имущество организаций составило 10841859,5 тыс. рублей, что на 838263,1 тыс. рублей, или 8,4% выше уровня 2023 года. Вклад налога в общий объем </w:t>
      </w:r>
      <w:r>
        <w:rPr>
          <w:rFonts w:ascii="PT Astra Serif" w:hAnsi="PT Astra Serif" w:cs="PT Astra Serif"/>
          <w:sz w:val="28"/>
          <w:szCs w:val="28"/>
        </w:rPr>
        <w:t>налоговых и неналоговых доходов составил 6,5%, что на 0,6 процентных пункта ниже данного показателя за 2023 год.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Объем поступления транспортного налога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 ,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зачисляемого  с 2021 года в полном объеме в бюджеты муниципальных районов и городских округов области </w:t>
      </w:r>
      <w:r>
        <w:rPr>
          <w:rFonts w:ascii="PT Astra Serif" w:hAnsi="PT Astra Serif" w:cs="PT Astra Serif"/>
          <w:sz w:val="28"/>
          <w:szCs w:val="28"/>
        </w:rPr>
        <w:t>за 2024 год составил 3303871,9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рублей, на 323060,5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рублей, или на 10,8%, выше фактического поступления 2023 года.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 положительной динамикой сложилось поступление местных налогов. Налог на имущество физических лиц увеличился относительно 2023 года</w:t>
      </w:r>
      <w:r>
        <w:rPr>
          <w:rFonts w:ascii="PT Astra Serif" w:hAnsi="PT Astra Serif" w:cs="PT Astra Serif"/>
          <w:sz w:val="28"/>
          <w:szCs w:val="28"/>
        </w:rPr>
        <w:t xml:space="preserve"> на 272594,6 тыс. рублей, или на 17,6%, и составил 1826020,0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рублей. Доходы от земельного налога возросли на 51381,1 тыс. рублей, или на 4,0%, составив на конец отчетного периода 1346623,5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 отрицательной динамикой к 2023 году сложилось п</w:t>
      </w:r>
      <w:r>
        <w:rPr>
          <w:rFonts w:ascii="PT Astra Serif" w:hAnsi="PT Astra Serif" w:cs="PT Astra Serif"/>
          <w:sz w:val="28"/>
          <w:szCs w:val="28"/>
        </w:rPr>
        <w:t>оступление налога на добычу полезных ископаемых, снижение составило 9350,4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рублей, или 3,8%, поступление налога по итогам 2024 года составило 234810,5 тыс. рублей.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Объем неналоговых доходов составил 10223865,9 тыс. рублей, на 3014166,7 тыс.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рублей, ил</w:t>
      </w:r>
      <w:r>
        <w:rPr>
          <w:rFonts w:ascii="PT Astra Serif" w:hAnsi="PT Astra Serif" w:cs="PT Astra Serif"/>
          <w:sz w:val="28"/>
          <w:szCs w:val="28"/>
        </w:rPr>
        <w:t>и на 41,8%, выше уровня, достигнутого в 2023 году.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Наибольший прирост по неналоговым доходам – по доходам от оказания платных услуг и компенсациям затрат государства, платежи по которым возросли на 2029640,4 тыс. рублей, в 2,4 раза, составив по итогам 2024</w:t>
      </w:r>
      <w:r>
        <w:rPr>
          <w:rFonts w:ascii="PT Astra Serif" w:hAnsi="PT Astra Serif" w:cs="PT Astra Serif"/>
          <w:sz w:val="28"/>
          <w:szCs w:val="28"/>
        </w:rPr>
        <w:t xml:space="preserve"> года 3430853,3 тыс. рублей.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Доходы от штрафов, санкций, возмещения ущерба возросли на 725017,8 тыс. рублей, или на 33,9%, составив 2866246,7 тыс. рублей, в том числе штрафы за административные правонарушения в области дорожного движения увеличились на 250</w:t>
      </w:r>
      <w:r>
        <w:rPr>
          <w:rFonts w:ascii="PT Astra Serif" w:hAnsi="PT Astra Serif" w:cs="PT Astra Serif"/>
          <w:sz w:val="28"/>
          <w:szCs w:val="28"/>
        </w:rPr>
        <w:t>257,5 тыс. рублей, или на 14,9%, составив 1928826,8 тыс. рублей. Наибольший прирост по штрафам – по доходам от пеней, предусмотренных законодательством о налогах и сборах, увеличение по которым на 333768,3 тыс. рублей, или в 2,3 раза, поступление за 2024 г</w:t>
      </w:r>
      <w:r>
        <w:rPr>
          <w:rFonts w:ascii="PT Astra Serif" w:hAnsi="PT Astra Serif" w:cs="PT Astra Serif"/>
          <w:sz w:val="28"/>
          <w:szCs w:val="28"/>
        </w:rPr>
        <w:t>од составило 596854,8 тыс. рублей.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Доходы от использования имущества, находящегося в государственной и муниципальной собственности, составили по итогам 2024 года 2974077,2 тыс. рублей, увеличение относительно 2023 года на 503975,5 тыс. рублей, или на 20,4%</w:t>
      </w:r>
      <w:r>
        <w:rPr>
          <w:rFonts w:ascii="PT Astra Serif" w:hAnsi="PT Astra Serif" w:cs="PT Astra Serif"/>
          <w:sz w:val="28"/>
          <w:szCs w:val="28"/>
        </w:rPr>
        <w:t>, в том числе доходы от операций по управлению остатками средств на едином казначейском счете возросли на 466620,8 тыс. рублей, более</w:t>
      </w:r>
      <w:proofErr w:type="gramStart"/>
      <w:r>
        <w:rPr>
          <w:rFonts w:ascii="PT Astra Serif" w:hAnsi="PT Astra Serif" w:cs="PT Astra Serif"/>
          <w:sz w:val="28"/>
          <w:szCs w:val="28"/>
        </w:rPr>
        <w:t>,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чем в 1,5 раза, составив по итогам года 1348480,9 тыс. рублей.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color w:val="FF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 xml:space="preserve">Безвозмездные поступления за 2024 год составили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br/>
        <w:t>59296848,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3 тыс. рублей, что ниже уровня 2023 года на 3203578,2 тыс. рублей, или на 5,2%, в том числе из федерального бюджета поступило 55534163,1 тыс. рублей.</w:t>
      </w:r>
    </w:p>
    <w:p w:rsidR="003869BD" w:rsidRDefault="001C41EA">
      <w:pPr>
        <w:spacing w:line="245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cyan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Доходы консолидированного бюджета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составили 350354,6 тыс. рублей. Возвращено остатков субсиди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й, субвенций и иных межбюджетных трансфертов, имеющих целевое назначение, прошлых лет в сумме 1171570,2 тыс. рублей.</w:t>
      </w:r>
      <w:r>
        <w:rPr>
          <w:rFonts w:ascii="PT Astra Serif" w:eastAsiaTheme="minorHAnsi" w:hAnsi="PT Astra Serif" w:cs="PT Astra Serif"/>
          <w:sz w:val="28"/>
          <w:szCs w:val="28"/>
          <w:highlight w:val="cyan"/>
        </w:rPr>
        <w:t xml:space="preserve"> </w:t>
      </w:r>
    </w:p>
    <w:p w:rsidR="003869BD" w:rsidRDefault="001C41EA">
      <w:pPr>
        <w:ind w:firstLine="720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Расходы консолидированного бюджета Саратовской области (без ТФОМС) исполнены в объеме 218343840,7 тыс. рублей или 94,9% годовых назначений</w:t>
      </w:r>
      <w:r>
        <w:rPr>
          <w:rFonts w:ascii="PT Astra Serif" w:hAnsi="PT Astra Serif" w:cs="PT Astra Serif"/>
          <w:sz w:val="28"/>
          <w:szCs w:val="28"/>
        </w:rPr>
        <w:t>, с ростом против 2023 года на 12224703,7 тыс. рублей, или на 5,9%. Анализ исполнения консолидированного бюджета области по разделам и подразделам бюджетной классификации Российской Федерации представлен в следующей таблице:</w:t>
      </w:r>
      <w:proofErr w:type="gramEnd"/>
    </w:p>
    <w:p w:rsidR="003869BD" w:rsidRDefault="003869BD">
      <w:pPr>
        <w:jc w:val="both"/>
        <w:rPr>
          <w:rFonts w:ascii="PT Astra Serif" w:hAnsi="PT Astra Serif" w:cs="PT Astra Serif"/>
          <w:sz w:val="20"/>
        </w:rPr>
      </w:pPr>
    </w:p>
    <w:tbl>
      <w:tblPr>
        <w:tblStyle w:val="aff3"/>
        <w:tblW w:w="10094" w:type="dxa"/>
        <w:tblInd w:w="-227" w:type="dxa"/>
        <w:tblLayout w:type="fixed"/>
        <w:tblLook w:val="04A0" w:firstRow="1" w:lastRow="0" w:firstColumn="1" w:lastColumn="0" w:noHBand="0" w:noVBand="1"/>
      </w:tblPr>
      <w:tblGrid>
        <w:gridCol w:w="3260"/>
        <w:gridCol w:w="1470"/>
        <w:gridCol w:w="1512"/>
        <w:gridCol w:w="1413"/>
        <w:gridCol w:w="992"/>
        <w:gridCol w:w="1447"/>
      </w:tblGrid>
      <w:tr w:rsidR="003869BD">
        <w:trPr>
          <w:trHeight w:val="209"/>
        </w:trPr>
        <w:tc>
          <w:tcPr>
            <w:tcW w:w="100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  (тыс. рублей)</w:t>
            </w:r>
          </w:p>
        </w:tc>
      </w:tr>
      <w:tr w:rsidR="003869BD">
        <w:trPr>
          <w:trHeight w:val="300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Наименование показателя</w:t>
            </w:r>
          </w:p>
          <w:p w:rsidR="003869BD" w:rsidRDefault="003869BD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2023 год</w:t>
            </w:r>
          </w:p>
        </w:tc>
        <w:tc>
          <w:tcPr>
            <w:tcW w:w="5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2024 год</w:t>
            </w:r>
          </w:p>
        </w:tc>
      </w:tr>
      <w:tr w:rsidR="003869BD">
        <w:trPr>
          <w:trHeight w:val="900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3869BD">
            <w:pPr>
              <w:jc w:val="center"/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факт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% исполнения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% к 2023 году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Расходы - всего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206 119 137,0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229 972 991,1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218 343 840,7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94,9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105,9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12 447 332,5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15 221 331,3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12 895 788,7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84,7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103,6</w:t>
            </w:r>
          </w:p>
        </w:tc>
      </w:tr>
      <w:tr w:rsidR="003869BD">
        <w:trPr>
          <w:trHeight w:val="12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620 757,8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647 152,5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623 675,5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100,5</w:t>
            </w:r>
          </w:p>
        </w:tc>
      </w:tr>
      <w:tr w:rsidR="003869BD">
        <w:trPr>
          <w:trHeight w:val="15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560 826,8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608 379,5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585 101,5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104,3</w:t>
            </w:r>
          </w:p>
        </w:tc>
      </w:tr>
      <w:tr w:rsidR="003869BD">
        <w:trPr>
          <w:trHeight w:val="15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администраций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3 601 965,3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4 004 704,8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3 837 888,7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106,5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653 458,8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720 720,1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684 870,5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104,8</w:t>
            </w:r>
          </w:p>
        </w:tc>
      </w:tr>
      <w:tr w:rsidR="003869BD">
        <w:trPr>
          <w:trHeight w:val="12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1 051 093,5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1 154 291,1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1 114 444,0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106,0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231 855,5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244 305,7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242 765,4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104,7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Международные отношения и международное сотрудничество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35 726,4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2 991,0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</w:tr>
      <w:tr w:rsidR="003869BD">
        <w:trPr>
          <w:trHeight w:val="27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1 219 270,2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200,7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204,4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202,6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100,9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5 691 447,7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6 619 312,0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5 806 840,5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87,7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102,0</w:t>
            </w:r>
          </w:p>
        </w:tc>
      </w:tr>
      <w:tr w:rsidR="003869BD">
        <w:trPr>
          <w:trHeight w:val="156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125 939,8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106 514,3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104 492,2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83,0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123 525,6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105 795,9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103 777,1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84,0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2 414,2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718,4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715,1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29,6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1 201 583,8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1 277 586,2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1 238 332,6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103,1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196 378,6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193 628,7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181 884,4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93,9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92,6</w:t>
            </w:r>
          </w:p>
        </w:tc>
      </w:tr>
      <w:tr w:rsidR="003869BD">
        <w:trPr>
          <w:trHeight w:val="94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236 793,0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190 118,5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187 341,0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79,1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Защита населения и территории от 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762 287,6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888 415,5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863 797,1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113,3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Миграционная политика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4 450,0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3 530,0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79,3</w:t>
            </w:r>
          </w:p>
        </w:tc>
      </w:tr>
      <w:tr w:rsidR="003869BD">
        <w:trPr>
          <w:trHeight w:val="9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1 674,6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1 893,5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1 780,1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94,0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106,3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44 050 001,8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55 898 021,1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53 250 835,5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120,9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581 720,0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842 718,8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827 405,7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142,2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27 475,0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31 228,6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30 785,3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112,0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4 307 887,0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5 745 795,5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5 592 931,9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97,3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129,8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416 582,8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258 787,8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253 776,7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60,9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453 408,8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407 205,0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400 168,1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88,3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4 839 372,3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10 827 413,0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10 583 340,7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97,7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218,7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26 608 211,8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29 028 985,4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26 921 696,5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101,2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131 590,0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167 896,7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165 638,7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125,9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21 700,0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20 485,0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20 485,0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94,4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6 662 054,1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8 567 505,3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8 454 606,9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126,9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22 160 814,8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20 334 131,7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16 770 243,9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82,5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75,7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13 359 384,3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6 101 042,3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5 613 827,4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92,0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42,0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2 961 905,5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4 456 316,8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3 978 334,6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89,3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134,3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4 194 471,3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7 575 587,7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5 039 932,6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66,5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120,2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1 645 053,7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2 201 184,9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2 138 149,3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97,1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130,0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129 397,9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195 006,9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145 080,7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74,4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112,1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Сбор, удаление отходов и очистка сточных вод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756,4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139,7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33 869,9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51 643,4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51 560,7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152,2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94 671,6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143 123,8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93 420,0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65,3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53 254 520,0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60 806 028,4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59 990 143,5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112,6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11 372 751,9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12 203 330,2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12 083 524,3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106,2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30 647 634,5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34 598 825,0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34 116 733,1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111,3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3 967 502,7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4 622 557,6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4 553 023,4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114,8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3 721 395,4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4 230 507,1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4 185 889,9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112,5</w:t>
            </w:r>
          </w:p>
        </w:tc>
      </w:tr>
      <w:tr w:rsidR="003869BD">
        <w:trPr>
          <w:trHeight w:val="9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259 384,8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286 661,2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284 662,2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109,7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315 155,0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631 085,9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622 741,8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197,6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Прикладные научные исследования в области образования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2 970 695,7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4 133 061,4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4 043 568,8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97,8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136,1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7 866 709,7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8 076 116,9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7 734 528,1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98,3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6 881 099,4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7 068 218,4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6 761 410,8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95,7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985 610,3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1 007 898,5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973 117,3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17 619 743,6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17 457 211,4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17 277 653,5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99,0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98,1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11 139 792,4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9 877 522,2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9 764 935,8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87,7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966 015,4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892 278,9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889 323,4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92,1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507 496,6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537 646,9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537 646,9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105,9</w:t>
            </w:r>
          </w:p>
        </w:tc>
      </w:tr>
      <w:tr w:rsidR="003869BD">
        <w:trPr>
          <w:trHeight w:val="9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111 938,0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121 456,0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121 456,0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108,5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255 364,9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271 274,1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271 274,1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106,2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 xml:space="preserve">Санитарно-эпидемиологическое </w:t>
            </w: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благополучие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>9 013,8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9 772,7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9 772,7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108,4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lastRenderedPageBreak/>
              <w:t xml:space="preserve">Другие вопросы в области здравоохранения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4 630 122,5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5 747 260,6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5 683 244,6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122,7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42 315 543,3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45 105 273,6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43 485 001,3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96,4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102,8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465 913,8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483 901,8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477 822,6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102,6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7 638 159,7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8 129 982,9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8 129 608,7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106,4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21 472 747,3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25 362 176,8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25 198 730,0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117,4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11 028 406,0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9 245 286,9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7 892 265,1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85,4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71,6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Прикладные научные исследования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3 500,0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 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1 710 316,5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1 880 425,2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1 783 074,9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94,8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104,3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4 057 245,7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4 357 428,8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4 325 977,6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106,6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436 400,8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955 650,8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940 135,4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98,4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215,4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1 368 461,0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677 047,8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674 282,2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49,3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2 156 370,8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2 631 137,9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2 621 644,7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121,6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96 013,1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93 592,3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89 915,3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93,6</w:t>
            </w:r>
          </w:p>
        </w:tc>
      </w:tr>
      <w:tr w:rsidR="003869BD">
        <w:trPr>
          <w:trHeight w:val="3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241 218,0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273 745,1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269 096,2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111,6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55 325,3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55 535,2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55 535,2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100,4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98 097,4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116 870,5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112 418,9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114,6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87 795,3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101 339,4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101 142,1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115,2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649 086,1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864 595,4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856 666,9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99,1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/>
                <w:bCs/>
                <w:color w:val="000000"/>
                <w:sz w:val="28"/>
                <w:szCs w:val="28"/>
              </w:rPr>
              <w:t>132,0</w:t>
            </w:r>
          </w:p>
        </w:tc>
      </w:tr>
      <w:tr w:rsidR="003869BD">
        <w:trPr>
          <w:trHeight w:val="60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9BD" w:rsidRDefault="001C41EA">
            <w:pPr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649 086,1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864 595,4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856 666,9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color w:val="000000"/>
                <w:sz w:val="28"/>
                <w:szCs w:val="28"/>
              </w:rPr>
              <w:t>99,1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869BD" w:rsidRDefault="001C41EA">
            <w:pPr>
              <w:jc w:val="right"/>
              <w:rPr>
                <w:rFonts w:ascii="PT Astra Serif" w:hAnsi="PT Astra Serif" w:cs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PT Astra Serif"/>
                <w:bCs/>
                <w:color w:val="000000"/>
                <w:sz w:val="28"/>
                <w:szCs w:val="28"/>
              </w:rPr>
              <w:t>132,0</w:t>
            </w:r>
          </w:p>
        </w:tc>
      </w:tr>
    </w:tbl>
    <w:p w:rsidR="003869BD" w:rsidRDefault="003869BD">
      <w:pPr>
        <w:spacing w:line="242" w:lineRule="auto"/>
        <w:rPr>
          <w:rFonts w:ascii="PT Astra Serif" w:hAnsi="PT Astra Serif" w:cs="PT Astra Serif"/>
          <w:sz w:val="20"/>
        </w:rPr>
      </w:pPr>
    </w:p>
    <w:p w:rsidR="003869BD" w:rsidRDefault="001C41EA">
      <w:pPr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сполнение по обязательствам, финансовое обеспечение которых осуществлялось за счет субсидий, субвенций и иных межбюджетных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>трансфертов из федерального бюджета (далее – целевые федеральные средства), сложилось в сумме 31923330,3 тыс. рублей, или 99,9% от фа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ктически поступивших целевых федеральных средств.</w:t>
      </w:r>
    </w:p>
    <w:p w:rsidR="003869BD" w:rsidRDefault="001C41EA">
      <w:pPr>
        <w:spacing w:line="242" w:lineRule="auto"/>
        <w:ind w:firstLine="70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По состоянию на 1 января 2025 года неиспользованные остатки целевых федеральных средств составили 8198,1 тыс. рублей, которые подлежат обязательному возврату в федеральный бюджет. 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 состоянию на 1 января</w:t>
      </w:r>
      <w:r>
        <w:rPr>
          <w:rFonts w:ascii="PT Astra Serif" w:hAnsi="PT Astra Serif" w:cs="PT Astra Serif"/>
          <w:sz w:val="28"/>
          <w:szCs w:val="28"/>
        </w:rPr>
        <w:t xml:space="preserve"> 2025 года размер государственного долга области составил 58363169,1 тыс. рублей, совокупного муниципального долга – 13960137,9 тыс. рублей. Объем государственного долга области сократился с начала 2024 года на сумму 4152316,6 тыс. рублей и составил 43,9% </w:t>
      </w:r>
      <w:r>
        <w:rPr>
          <w:rFonts w:ascii="PT Astra Serif" w:hAnsi="PT Astra Serif" w:cs="PT Astra Serif"/>
          <w:sz w:val="28"/>
          <w:szCs w:val="28"/>
        </w:rPr>
        <w:t>к фактическому поступлению налоговых и неналоговых доходов областного бюджета за 2024 год. Объем муниципального долга увеличился за 2024 год на  сумму 754987,3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Расходы на обслуживание государственного и муниципального долга составили за 2024 г</w:t>
      </w:r>
      <w:r>
        <w:rPr>
          <w:rFonts w:ascii="PT Astra Serif" w:hAnsi="PT Astra Serif" w:cs="PT Astra Serif"/>
          <w:sz w:val="28"/>
          <w:szCs w:val="28"/>
        </w:rPr>
        <w:t>од 384107,5 тыс. рублей и 482091,9 тыс. рублей соответственно.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 счет собственных средств областного бюджета в 2024 году погашена третья амортизационная часть облигационного займа в сумме 2000000,0 тыс. рублей. По состоянию на 1 января 2025 года задолженн</w:t>
      </w:r>
      <w:r>
        <w:rPr>
          <w:rFonts w:ascii="PT Astra Serif" w:hAnsi="PT Astra Serif" w:cs="PT Astra Serif"/>
          <w:sz w:val="28"/>
          <w:szCs w:val="28"/>
        </w:rPr>
        <w:t>ость по государственным ценным бумагам у Саратовской области отсутствует.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Привлечение и погашение кредитов от кредитных организаций в 2024 году Саратовская область не осуществляла. Задолженность области по кредитам от кредитных организаций на 1 января 2025</w:t>
      </w:r>
      <w:r>
        <w:rPr>
          <w:rFonts w:ascii="PT Astra Serif" w:hAnsi="PT Astra Serif" w:cs="PT Astra Serif"/>
          <w:sz w:val="28"/>
          <w:szCs w:val="28"/>
        </w:rPr>
        <w:t xml:space="preserve"> года отсутствует.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Муниципальными образованиями в течение 2024 года привлечено кредитов от кредитных организаций на общую сумму 7133844,0 тыс. рублей, погашено на общую сумму 6201594,0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>Привлечение Саратовской областью в 2024 году из Управления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Федерального казначейства по Саратовской области бюджетных кредитов на пополнение остатка средств на едином счете бюджета не осуществлялось. 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>В течение 2024 года Правительство области осуществляло согласование предоставления Управлением Федерального казна</w:t>
      </w:r>
      <w:r>
        <w:rPr>
          <w:rFonts w:ascii="PT Astra Serif" w:hAnsi="PT Astra Serif" w:cs="PT Astra Serif"/>
          <w:spacing w:val="-6"/>
          <w:sz w:val="28"/>
          <w:szCs w:val="28"/>
        </w:rPr>
        <w:t>чейства по Саратовской области казначейских бюджетных кредитов в рамках лимита, установленного Минфином России для Саратовской области. Данный механизм использовали три муниципальных образования, и в 2024 году привлечение ими бюджетных кредитов составило в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общей сумме 1144769,0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>В 2024 году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Саратовской областью из федерального бюджета привлечен бюджетный кредит на финансовое обеспечение реализации инфраструктурного проекта (инфраструктурный бюджетный кредит) в сумме 1399935,0 тыс. рублей; 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За счет собственных средств областного бюджета в 2024 году Саратовская область погасила реструктурированную задолженность по бюджетным кредитам в общей сумме 501858,2 </w:t>
      </w:r>
      <w:r>
        <w:rPr>
          <w:rFonts w:ascii="PT Astra Serif" w:hAnsi="PT Astra Serif" w:cs="PT Astra Serif"/>
          <w:spacing w:val="-6"/>
          <w:sz w:val="28"/>
          <w:szCs w:val="28"/>
        </w:rPr>
        <w:t>тыс. рублей и задолженность по инфраструктурному бюджетному кредиту в сумме 107142,9 тыс.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>В 2024 году за счет межбюджетных трансфертов, предоставленных из федерального бюджета, Саратовской областью были погашены бюджетные кредиты на пополнение остатка средств на едином счете бюджета, предоставленные в 2023 году в целях опережающего фин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ансового обеспечения расходных обязательств </w:t>
      </w:r>
      <w:r>
        <w:rPr>
          <w:rFonts w:ascii="PT Astra Serif" w:hAnsi="PT Astra Serif" w:cs="PT Astra Serif"/>
          <w:spacing w:val="-6"/>
          <w:sz w:val="28"/>
          <w:szCs w:val="28"/>
        </w:rPr>
        <w:lastRenderedPageBreak/>
        <w:t>области Управлением Федерального казначейства по Саратовской области, в общей сумме 2943250,5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 состоянию на 1 января 2025 года задолженность Саратовской области перед федеральным бюджетом по бюджет</w:t>
      </w:r>
      <w:r>
        <w:rPr>
          <w:rFonts w:ascii="PT Astra Serif" w:hAnsi="PT Astra Serif" w:cs="PT Astra Serif"/>
          <w:sz w:val="28"/>
          <w:szCs w:val="28"/>
        </w:rPr>
        <w:t>ным кредитам составила – 58363169,1 тыс. рублей, в том числе: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реструктурированная задолженность по бюджетным кредитам, предоставленным на строительство, реконструкцию, капитальный ремонт, ремонт и содержание автомобильных дорог общего пользования (за исклю</w:t>
      </w:r>
      <w:r>
        <w:rPr>
          <w:rFonts w:ascii="PT Astra Serif" w:hAnsi="PT Astra Serif" w:cs="PT Astra Serif"/>
          <w:sz w:val="28"/>
          <w:szCs w:val="28"/>
        </w:rPr>
        <w:t>чением автомобильных дорог федерального значения) – 2245313,8 тыс. рублей;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реструктурированная задолженность по бюджетным кредитам, предоставленным для частичного покрытия дефицита бюджета – 19607999,6 тыс. рублей;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реструктурированная задолженность по бюдж</w:t>
      </w:r>
      <w:r>
        <w:rPr>
          <w:rFonts w:ascii="PT Astra Serif" w:hAnsi="PT Astra Serif" w:cs="PT Astra Serif"/>
          <w:sz w:val="28"/>
          <w:szCs w:val="28"/>
        </w:rPr>
        <w:t>етному кредиту, предоставленному для погашения бюджетных кредитов на пополнение остатков средств на счетах бюджетов субъектов Российской Федерации – 4487333,3 тыс. рублей;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задолженность по бюджетным кредитам, предоставленным в целях погашения долговых обяз</w:t>
      </w:r>
      <w:r>
        <w:rPr>
          <w:rFonts w:ascii="PT Astra Serif" w:hAnsi="PT Astra Serif" w:cs="PT Astra Serif"/>
          <w:sz w:val="28"/>
          <w:szCs w:val="28"/>
        </w:rPr>
        <w:t>ательств по рыночным заимствованиям области и муниципальных образований – 25945214,3 тыс. рублей;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задолженность по 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на финансовое обеспечение реализации инфраструктурных проектов (инфраструктурные бюджетные кредиты) – 424</w:t>
      </w:r>
      <w:r>
        <w:rPr>
          <w:rFonts w:ascii="PT Astra Serif" w:hAnsi="PT Astra Serif" w:cs="PT Astra Serif"/>
          <w:spacing w:val="-6"/>
          <w:sz w:val="28"/>
          <w:szCs w:val="28"/>
        </w:rPr>
        <w:t>2710,1 тыс. рублей;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задолженность по бюджетным кредитам, предоставленным</w:t>
      </w:r>
      <w:r>
        <w:rPr>
          <w:rFonts w:ascii="PT Astra Serif" w:hAnsi="PT Astra Serif" w:cs="PT Astra Serif"/>
          <w:spacing w:val="-6"/>
          <w:sz w:val="28"/>
          <w:szCs w:val="28"/>
        </w:rPr>
        <w:t xml:space="preserve"> на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>финансовое обеспечение реализации инфраструктурных проектов (специальные казначейские кредиты) - 1834598,0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2024 году из областного бюджета муниципальным образованиям</w:t>
      </w:r>
      <w:r>
        <w:rPr>
          <w:rFonts w:ascii="PT Astra Serif" w:hAnsi="PT Astra Serif" w:cs="PT Astra Serif"/>
          <w:sz w:val="28"/>
          <w:szCs w:val="28"/>
        </w:rPr>
        <w:t xml:space="preserve"> области предоставлены бюджетные кредиты для покрытия временных кассовых разрывов в сумме 335000,0 тыс. рублей со сроком погашения в течение финансового года. Просроченных долговых обязательств муниципальных образований перед областным бюджетом не имеется.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Параметры государственного долга области и муниципального долга муниципальных образований области, а также расходов на их обслуживание, по состоянию на 31 декабря 2024 года соответствуют требованиям, установленным Бюджетным кодексом Российской Федерации.</w:t>
      </w:r>
    </w:p>
    <w:p w:rsidR="003869BD" w:rsidRDefault="003869BD">
      <w:pPr>
        <w:rPr>
          <w:rFonts w:ascii="PT Astra Serif" w:hAnsi="PT Astra Serif" w:cs="PT Astra Serif"/>
          <w:spacing w:val="-6"/>
          <w:sz w:val="20"/>
        </w:rPr>
      </w:pPr>
    </w:p>
    <w:p w:rsidR="003869BD" w:rsidRDefault="001C41EA">
      <w:pPr>
        <w:spacing w:line="242" w:lineRule="auto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Раздел 4 «Анализ показателей бухгалтерской отчетности субъекта бюджетной отчетности»</w:t>
      </w:r>
    </w:p>
    <w:p w:rsidR="003869BD" w:rsidRDefault="003869BD">
      <w:pPr>
        <w:spacing w:line="242" w:lineRule="auto"/>
        <w:jc w:val="center"/>
        <w:rPr>
          <w:rFonts w:ascii="PT Astra Serif" w:hAnsi="PT Astra Serif" w:cs="PT Astra Serif"/>
          <w:sz w:val="20"/>
          <w:highlight w:val="yellow"/>
        </w:rPr>
      </w:pP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За 2024 год из федерального бюджета в государственную собственность Саратовской области и муниципальную собственность было передано и поставлено на учет имущество в сумм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е 3535716,1 тыс. рублей, из бюджетов других субъектов Российской Федерации – 33887,0 тыс. рублей, передано из государственной собственности области и муниципальной в федеральную собственность имущество в сумме 70647,1 тыс. рублей, в собственность других су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бъектов (в том числе муниципальным округам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) - 171388,7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Подробные сведения о движении нефинансовых активов представлены в приложении по форме 0503368.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 xml:space="preserve">В течение 2024 года объем кредиторской задолженности по консолидированному бюджету области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увеличился на 126359,1 тыс. рублей и на 1 января 2025 года составил 1441226,9 тыс. рублей (без учета операций по единому счету областного бюджета и расчетам по доходам).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Просроченная кредиторская задолженность увеличилась на 90666,9 тыс. рублей с 509121,6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тыс. рублей на 1 января 2024 года до 599788,5 тыс. рублей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br/>
        <w:t xml:space="preserve">на 1 января 2025 года, в том числе просроченная кредиторская задолженность более 10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млн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рублей сложилась по </w:t>
      </w:r>
      <w:proofErr w:type="spell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Вольскому</w:t>
      </w:r>
      <w:proofErr w:type="spell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муниципальному району Саратовской области у </w:t>
      </w:r>
      <w:r>
        <w:rPr>
          <w:rFonts w:ascii="PT Astra Serif" w:hAnsi="PT Astra Serif" w:cs="PT Astra Serif"/>
          <w:sz w:val="28"/>
          <w:szCs w:val="28"/>
          <w:highlight w:val="white"/>
        </w:rPr>
        <w:t>МКУ «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Вольсктеплоэнерго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>» перед ООО 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Газпром 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межрегионгаз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Саратов» за газоснабжение в сумме 126085,3 тыс. рублей со сроком исполнения в 2023 году, в сумме 283742,4 тыс. рублей со сроком исполнения в 2024 году и перед ПАО «Саратовэнерго» за поставку электроэнергии в сумме 18939,6 </w:t>
      </w:r>
      <w:proofErr w:type="spellStart"/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тыс</w:t>
      </w:r>
      <w:proofErr w:type="spellEnd"/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рублей со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сроком погашения в 2024 году. Просроченная кредиторская задолженность сложилась в результате 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недопоступления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собственных доходов в местные бюджеты.</w:t>
      </w:r>
    </w:p>
    <w:p w:rsidR="003869BD" w:rsidRDefault="001C41EA">
      <w:pPr>
        <w:spacing w:line="242" w:lineRule="auto"/>
        <w:ind w:firstLine="54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Объем дебиторской задолженности по консолидированному бюджету области на 1 января 2025 года составил 195268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348,8 тыс. рублей.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Просроченная дебиторская задолженность с 1 января 2024 года увеличилась на 408304,6 тыс. рублей и по состоянию на 1 января 2025 года составила 3394245,1 тыс. рублей, в том числе просроченная дебиторская задолженность более 10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млн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рублей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сложилась: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в сумме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32150,5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тыс. рублей по министерству спорта Саратовской области в результате неисполнения обязательств Общественной организацией </w:t>
      </w:r>
      <w:proofErr w:type="spell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Балаковского</w:t>
      </w:r>
      <w:proofErr w:type="spell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района Саратовской области «Волейбольный клуб «Протон-БАЭС» по представленным 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субсидиям и грант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ам на развитие на территории области отдельных видов спорта (спортивных дисциплин);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 xml:space="preserve">по комитету по обеспечению деятельности мировых судей Саратовской области задолженность ООО «Управляющая организация Алекс» в сумме 11000,0 тыс. рублей и ООО «Ривьера-XXI»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сумме 20000,0 тыс. рублей по административным штрафам, наложенным мировыми судьями,  а также задолженность физических лиц по административным штрафам по статье 20.25 «Уклонения от исполнения административного наказания» КОАП РФ в двойном размере в сумме </w:t>
      </w:r>
      <w:r>
        <w:rPr>
          <w:rFonts w:ascii="PT Astra Serif" w:hAnsi="PT Astra Serif" w:cs="PT Astra Serif"/>
          <w:sz w:val="28"/>
          <w:szCs w:val="28"/>
          <w:highlight w:val="white"/>
        </w:rPr>
        <w:t>56582,7 тыс. рублей;</w:t>
      </w:r>
      <w:proofErr w:type="gramEnd"/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по </w:t>
      </w:r>
      <w:proofErr w:type="spellStart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Балаковскому</w:t>
      </w:r>
      <w:proofErr w:type="spellEnd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муниципальному району задолженность физических лиц по арендной плате в сумме 18046,4 тыс. рублей и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за наем муниципальных жилых помещений в сумме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16062,1 тыс. рублей;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по </w:t>
      </w:r>
      <w:proofErr w:type="spellStart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Балашовскому</w:t>
      </w:r>
      <w:proofErr w:type="spellEnd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муниципальному району области  задолж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енность ООО «Инвестиционная сервисная компания» в сумме 11896,8 тыс.  рублей  и задолженность физических лиц в сумме 76022,0  тыс. рублей перед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МКУ муниципального образования г.  Балашов «Городское ЖКХ» (водоканал)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по платным услугам за </w:t>
      </w:r>
      <w:r>
        <w:rPr>
          <w:rFonts w:ascii="PT Astra Serif" w:hAnsi="PT Astra Serif" w:cs="PT Astra Serif"/>
          <w:sz w:val="28"/>
          <w:szCs w:val="28"/>
          <w:highlight w:val="white"/>
        </w:rPr>
        <w:t>забор, распределени</w:t>
      </w:r>
      <w:r>
        <w:rPr>
          <w:rFonts w:ascii="PT Astra Serif" w:hAnsi="PT Astra Serif" w:cs="PT Astra Serif"/>
          <w:sz w:val="28"/>
          <w:szCs w:val="28"/>
          <w:highlight w:val="white"/>
        </w:rPr>
        <w:t>е и очистку воды для питьевых и промышленных нужд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сумме 40861,6 тыс. рублей по 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Вольскому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муниципальному району  по доходам за коммунальные услуги от физических лиц перед МКУ «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Вольсктеплоэнерго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>»;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по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муниципальному образованию «Город Саратов»</w:t>
      </w:r>
      <w:r>
        <w:rPr>
          <w:rFonts w:ascii="PT Astra Serif" w:hAnsi="PT Astra Serif" w:cs="PT Astra Serif"/>
          <w:sz w:val="28"/>
          <w:szCs w:val="28"/>
          <w:highlight w:val="white"/>
        </w:rPr>
        <w:t>:</w:t>
      </w:r>
    </w:p>
    <w:p w:rsidR="003869BD" w:rsidRDefault="001C41EA">
      <w:pPr>
        <w:spacing w:line="242" w:lineRule="auto"/>
        <w:ind w:firstLine="72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lastRenderedPageBreak/>
        <w:t xml:space="preserve">в сумме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18062,5  тыс.  рублей за несвоевременную оплату населением за наем муниципальных жилых помещений;</w:t>
      </w:r>
    </w:p>
    <w:p w:rsidR="003869BD" w:rsidRDefault="001C41EA">
      <w:pPr>
        <w:spacing w:line="242" w:lineRule="auto"/>
        <w:ind w:firstLine="72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в сумме 37112,2 тыс. рублей задолженность физических лиц потребителей коммунальных услуг</w:t>
      </w:r>
      <w:proofErr w:type="gramStart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;</w:t>
      </w:r>
      <w:r>
        <w:rPr>
          <w:rFonts w:ascii="PT Astra Serif" w:hAnsi="PT Astra Serif" w:cs="PT Astra Serif"/>
          <w:sz w:val="28"/>
          <w:szCs w:val="28"/>
          <w:highlight w:val="white"/>
        </w:rPr>
        <w:t>.</w:t>
      </w:r>
      <w:proofErr w:type="gramEnd"/>
    </w:p>
    <w:p w:rsidR="003869BD" w:rsidRDefault="001C41EA">
      <w:pPr>
        <w:spacing w:line="242" w:lineRule="auto"/>
        <w:ind w:firstLine="720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по территориальному фонду обязательного медицинского страхования об</w:t>
      </w:r>
      <w:r>
        <w:rPr>
          <w:rFonts w:ascii="PT Astra Serif" w:hAnsi="PT Astra Serif" w:cs="PT Astra Serif"/>
          <w:sz w:val="28"/>
          <w:szCs w:val="28"/>
        </w:rPr>
        <w:t xml:space="preserve">ласти </w:t>
      </w:r>
      <w:r>
        <w:rPr>
          <w:rFonts w:ascii="PT Astra Serif" w:hAnsi="PT Astra Serif" w:cs="PT Astra Serif"/>
          <w:sz w:val="28"/>
          <w:szCs w:val="28"/>
          <w:highlight w:val="white"/>
        </w:rPr>
        <w:t>в сумме 12714,5 задолженность АО «Страховая компания «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Согаз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 xml:space="preserve">-Мед»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по результатам контроля за медицинскими организациями и применения штрафов к ним за нарушения, выявленные при проведении контроля объемов, сроков, качества и условий предоставления меди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цинской помощи и по результатам проведения проверок за соблюдением законодательства об обязательном медицинском страховании в Российской Федерации.</w:t>
      </w:r>
      <w:proofErr w:type="gramEnd"/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Подробные сведения по дебиторской и кредиторской задолженности представлены в приложении по форме 0503369.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В Сведениях об изменении остатков валюты баланса (ф. 0503373) отражены остатки по счетам, сформированные с учетом: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реорганизации (слияние, присоединение, разделение, выделение, преобразование), ликвидации субъекта бюджетной отчетности, изменении типов госу</w:t>
      </w: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дарственных (муниципальных) учреждений на начало финансового года, изменение подведомственности государственных (муниципальных) учреждений;</w:t>
      </w:r>
      <w:proofErr w:type="gramEnd"/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  <w:lang w:eastAsia="en-US"/>
        </w:rPr>
        <w:t>исправлений ошибок прошлых лет;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пересчета показателей отчетности;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исправлений ошибок прошлых лет по результатам внеш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него (внутреннего) государственного (муниципального) финансового контроля;</w:t>
      </w:r>
    </w:p>
    <w:p w:rsidR="003869BD" w:rsidRDefault="001C41EA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введения в консолидированную отчетность муниципальных образований отчетности областных администраторов поступлений местных бюджетов (отражены по коду причины 06 «</w:t>
      </w:r>
      <w:r>
        <w:rPr>
          <w:rFonts w:ascii="PT Astra Serif" w:hAnsi="PT Astra Serif" w:cs="PT Astra Serif"/>
          <w:sz w:val="28"/>
          <w:szCs w:val="28"/>
          <w:highlight w:val="white"/>
        </w:rPr>
        <w:t>иные причины, преду</w:t>
      </w:r>
      <w:r>
        <w:rPr>
          <w:rFonts w:ascii="PT Astra Serif" w:hAnsi="PT Astra Serif" w:cs="PT Astra Serif"/>
          <w:sz w:val="28"/>
          <w:szCs w:val="28"/>
          <w:highlight w:val="white"/>
        </w:rPr>
        <w:t>смотренных законодательством Российской Федерации»).</w:t>
      </w:r>
    </w:p>
    <w:p w:rsidR="003869BD" w:rsidRDefault="003869BD">
      <w:pPr>
        <w:spacing w:line="242" w:lineRule="auto"/>
        <w:ind w:firstLine="540"/>
        <w:jc w:val="both"/>
        <w:rPr>
          <w:rFonts w:ascii="PT Astra Serif" w:hAnsi="PT Astra Serif" w:cs="PT Astra Serif"/>
          <w:sz w:val="20"/>
          <w:highlight w:val="white"/>
        </w:rPr>
      </w:pPr>
    </w:p>
    <w:p w:rsidR="003869BD" w:rsidRDefault="001C41EA">
      <w:pPr>
        <w:spacing w:line="242" w:lineRule="auto"/>
        <w:ind w:firstLine="540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b/>
          <w:sz w:val="28"/>
          <w:szCs w:val="28"/>
          <w:highlight w:val="white"/>
        </w:rPr>
        <w:t>Раздел 5 «Прочие вопросы деятельности субъекта бюджетной отчетности»</w:t>
      </w:r>
    </w:p>
    <w:p w:rsidR="003869BD" w:rsidRDefault="003869BD">
      <w:pPr>
        <w:spacing w:line="242" w:lineRule="auto"/>
        <w:ind w:firstLine="540"/>
        <w:jc w:val="center"/>
        <w:rPr>
          <w:rFonts w:ascii="PT Astra Serif" w:hAnsi="PT Astra Serif" w:cs="PT Astra Serif"/>
          <w:sz w:val="20"/>
          <w:highlight w:val="white"/>
        </w:rPr>
      </w:pP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Бухгалтерский учет осуществляется в соответствии с Федеральным законом от 6 декабря 2011 года № 402-ФЗ «О бухгалтерском учете», Бюдж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етным кодексом Российской Федерации, приказом Министерства финансов Российской Федерации от 1-го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Инструкции по его применению», с применением федеральных стандартов.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Бухгалтерская отчетность составля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ется в соответствии с требованиями приказа Министерства финансов Российской Федерации от 28 декабря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br/>
        <w:t>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ой системы Российской Федерации» и совместными письмами Министерства финансов Российской Федерации от 29 декабря 2024 года № 02-06-06/120378 и Федерального казначейства № 07-04-05/02-35262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br/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lastRenderedPageBreak/>
        <w:t>«О дополнительных критериях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по раскрытию информации при составлени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и и представлении годовой консолидированной бюджетной отчетности, годовой консолидированной  бухгалтерской отчетности государственных бюджетных и автономных учреждений главными администраторами средств федерального бюджета за 2024 год», Министерства финанс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ов Российской Федерации от 29 декабря 2024 года № 02-06-06/120377 и Федерального казначейства № 07-04-05/02-35263 «О дополнительных критериях по раскрытию информации при составлении и представлении годовой бюджетной отчетности, годовой консолидированной бу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хгалтерской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отчетности государственных (муниципальных) бюджетных и автономных учреждений финансовыми органами субъектов Российской Федерации и органами управления государственными внебюджетными фондами Российской Федерации за 2024 год».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В справке по заключ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ению счетов бюджетного учета отчетного финансового года (ф. 0503110) начислены доходы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текущего финансового года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 по номеру счета бюджетного учета: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- 140110191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в сумме 3115013098 рублей 26 копеек отражены безвозмездные </w:t>
      </w:r>
      <w:proofErr w:type="spellStart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неденежные</w:t>
      </w:r>
      <w:proofErr w:type="spellEnd"/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поступления от сектора госуд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>арственного управления и органов государственного сектора;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- 140110195 в сумме 4397354979 рублей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78 копеек отражены 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безвозмездно полученные земельные участки, движимое и недвижимое имущество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от сектора государственного управления и органов государственного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сектора</w:t>
      </w: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>-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140110199 в сумме 12504811384 рубля 21 копейка отражены неразграниченные земельные участки, оприходованный металлолом, макулатура, ветошь, выморочное имущество,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highlight w:val="white"/>
        </w:rPr>
        <w:t xml:space="preserve"> а также иные нефинансовые активы, выявленные в результате проведения инвентаризации.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В Справке по заключению счетов бюджетного учета отчетного финансового года (ф. 0503110) по КОСГУ 273 «Чрезвычайные расходы по операциям с активами» отражены списания деби</w:t>
      </w:r>
      <w:r>
        <w:rPr>
          <w:rFonts w:ascii="PT Astra Serif" w:eastAsiaTheme="minorHAnsi" w:hAnsi="PT Astra Serif" w:cs="PT Astra Serif"/>
          <w:color w:val="000000" w:themeColor="text1"/>
          <w:sz w:val="28"/>
          <w:szCs w:val="28"/>
          <w:highlight w:val="white"/>
        </w:rPr>
        <w:t>торской задолженности, по КОСГУ 173 «Чрезвычайные доходы от операций с активами» списания дебиторской и кредиторской задолженности, по КОСГУ 136 «Доходы бюджета от возврата дебиторской задолженности прошлых лет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» отражены начисления поступивших остатков суб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сидии на выполнение муниципального задания в</w:t>
      </w:r>
      <w:proofErr w:type="gramEnd"/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бюджет муниципального района по решению учредителя, сложившиеся от возврата дебиторской задолженности муниципальному бюджетному учреждению Социальным фондом России, а также начисления поступлений субсидии на вып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олнение государственного задания от государственных бюджетных и автономных учреждений  в областной бюджет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в случаях исполнения решений учредителей и органов государственного контроля при условии выполнения государственного задания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, по КОСГУ 129 «Иные доход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ы от собственности» с кодом доходов 000</w:t>
      </w:r>
      <w:proofErr w:type="gramEnd"/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 xml:space="preserve"> 1 17 05020 02 0000 180 «Прочие неналоговые доходы бюджетов субъекта Российской Федерации» </w:t>
      </w:r>
      <w:r>
        <w:rPr>
          <w:rFonts w:ascii="PT Astra Serif" w:eastAsia="PT Astra Serif" w:hAnsi="PT Astra Serif" w:cs="PT Astra Serif"/>
          <w:color w:val="000000" w:themeColor="text1"/>
          <w:sz w:val="28"/>
          <w:szCs w:val="28"/>
          <w:highlight w:val="white"/>
        </w:rPr>
        <w:t>отражено начисление доходов от предоставления права на заключение государственного контракта</w:t>
      </w:r>
      <w:r>
        <w:rPr>
          <w:rFonts w:ascii="PT Astra Serif" w:hAnsi="PT Astra Serif" w:cs="PT Astra Serif"/>
          <w:color w:val="000000" w:themeColor="text1"/>
          <w:sz w:val="28"/>
          <w:szCs w:val="28"/>
          <w:highlight w:val="white"/>
        </w:rPr>
        <w:t>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Расхождение формы 0503110 Справк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и по заключению счетов бюджетного учета отчетного финансового года и формы 0503710 Справки по заключению учреждением счетов бухгалтерского учета отчетного финансового года сложилось в связи </w:t>
      </w:r>
      <w:proofErr w:type="gramStart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с</w:t>
      </w:r>
      <w:proofErr w:type="gramEnd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lastRenderedPageBreak/>
        <w:t>отражением в форме 0503710 Справки по заключению учреждением сч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етов бухгалтерского учета отчетного финансового года: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по коду вида расходов 806 «Безвозмездные межбюджетные </w:t>
      </w:r>
      <w:proofErr w:type="spellStart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неденежные</w:t>
      </w:r>
      <w:proofErr w:type="spellEnd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 передачи» коду счета 0 401 20 251 «</w:t>
      </w:r>
      <w:r>
        <w:rPr>
          <w:rFonts w:ascii="PT Astra Serif" w:eastAsia="Arial" w:hAnsi="PT Astra Serif" w:cs="PT Astra Serif"/>
          <w:color w:val="333333"/>
          <w:sz w:val="28"/>
          <w:szCs w:val="28"/>
          <w:highlight w:val="white"/>
        </w:rPr>
        <w:t>Расходы на перечисления текущего характера другим бюджетам бюджетной системы Российской Федерации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передача материальных запасов федеральным государственным казенным учреждениям в сумме 245657 рублей 64 копейки и государственным казенным учреждениям других субъектов Российской Федерации в сумме 2688000 рублей 00 копеек;</w:t>
      </w:r>
      <w:proofErr w:type="gramEnd"/>
    </w:p>
    <w:p w:rsidR="003869BD" w:rsidRDefault="001C4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CFCFC" w:fill="FCFCFC"/>
        <w:ind w:firstLine="709"/>
        <w:jc w:val="both"/>
        <w:rPr>
          <w:rFonts w:ascii="PT Astra Serif" w:hAnsi="PT Astra Serif" w:cs="PT Astra Serif"/>
          <w:color w:val="232627"/>
          <w:sz w:val="28"/>
          <w:szCs w:val="28"/>
          <w:highlight w:val="white"/>
        </w:rPr>
      </w:pP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отражением в форме 0503110 Справ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ка по заключению счетов бюджетного учета отчетного финансового года:</w:t>
      </w:r>
    </w:p>
    <w:p w:rsidR="003869BD" w:rsidRDefault="001C4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CFCFC" w:fill="FCFCFC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по коду вида расходов 807 «Безвозмездные межбюджетные </w:t>
      </w:r>
      <w:proofErr w:type="spellStart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неденежные</w:t>
      </w:r>
      <w:proofErr w:type="spellEnd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 передачи бюджетным (автономным)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учреждениям» коду счета 1 401 20 254 «Расходы на перечисления капитального характера други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м бюджетам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бюджетной системы Российской Федерации» передача нефинансовых активов федеральным государственным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бюджетным учреждениям в сумме 1958199 рублей 75 копеек;</w:t>
      </w:r>
    </w:p>
    <w:p w:rsidR="003869BD" w:rsidRDefault="001C4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CFCFC" w:fill="FCFCFC"/>
        <w:ind w:firstLine="709"/>
        <w:jc w:val="both"/>
        <w:rPr>
          <w:rFonts w:ascii="PT Astra Serif" w:hAnsi="PT Astra Serif" w:cs="PT Astra Serif"/>
          <w:color w:val="232627"/>
          <w:sz w:val="28"/>
          <w:szCs w:val="28"/>
          <w:highlight w:val="white"/>
        </w:rPr>
      </w:pPr>
      <w:proofErr w:type="gramStart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по коду вида расходов 807 «Безвозмездные межбюджетные </w:t>
      </w:r>
      <w:proofErr w:type="spellStart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неденежные</w:t>
      </w:r>
      <w:proofErr w:type="spellEnd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 передачи бюджетным (автоно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мным)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учреждениям» коду счета 1 401 20 251 «</w:t>
      </w:r>
      <w:r>
        <w:rPr>
          <w:rFonts w:ascii="PT Astra Serif" w:eastAsia="Arial" w:hAnsi="PT Astra Serif" w:cs="PT Astra Serif"/>
          <w:color w:val="333333"/>
          <w:sz w:val="28"/>
          <w:szCs w:val="28"/>
          <w:highlight w:val="white"/>
        </w:rPr>
        <w:t>Расходы на перечисления текущего характера другим бюджетам бюджетной системы Российской Федерации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» передача материальных запасов федеральному государственному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бюджетному учреждению в сумме 1454 рубля 19 копеек и 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вложений в материальные запасы государственному бюджетному учреждения другого субъекта Российской Федерации  в сумме 9198535 рублей 50 копеек.</w:t>
      </w:r>
      <w:proofErr w:type="gramEnd"/>
    </w:p>
    <w:p w:rsidR="003869BD" w:rsidRDefault="001C4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CFCFC" w:fill="FCFCFC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В форме 0503125 по счету бюджетного учета 130111710 «Увеличение задолженности перед бюджетами бюджетной системы Р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оссийской Федерации по привлеченным бюджетным кредитам в рублях»  имеется расхождение по внешнему контролю с Федеральным казначейством (глава 100) в сумме 889314 рублей 76 копеек по начисленным процентам по долговым обязательствам в момент возникновения об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язательства по уплате таких процентов (п.100 Инструкции по применению Плана счетов бюджетного</w:t>
      </w:r>
      <w:proofErr w:type="gramEnd"/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 xml:space="preserve"> учета, утвержденной приказом Министерства финансов Российской Федерации от 06.12.2010 г. № 162н, письма Министерства финансов Российской Федерации от 16.12.2021 г</w:t>
      </w:r>
      <w:r>
        <w:rPr>
          <w:rFonts w:ascii="PT Astra Serif" w:eastAsia="Arial" w:hAnsi="PT Astra Serif" w:cs="PT Astra Serif"/>
          <w:color w:val="232627"/>
          <w:sz w:val="28"/>
          <w:szCs w:val="28"/>
          <w:highlight w:val="white"/>
        </w:rPr>
        <w:t>. № 02-07-10/103780, от 24.01.2024 г.  № 02-06-09/5488, от 02.02.2024 г. № 02-06-06/8367).</w:t>
      </w:r>
    </w:p>
    <w:p w:rsidR="003869BD" w:rsidRDefault="001C41E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CFCFC" w:fill="FCFCFC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 форме 0503368 Сведения о движении нефинансовых активов консолидированного бюджета по строке 560 «Вложения в объекты государственной (муниципальной) казны» (счет 01</w:t>
      </w:r>
      <w:r>
        <w:rPr>
          <w:rFonts w:ascii="PT Astra Serif" w:hAnsi="PT Astra Serif" w:cs="PT Astra Serif"/>
          <w:sz w:val="28"/>
          <w:szCs w:val="28"/>
          <w:highlight w:val="white"/>
        </w:rPr>
        <w:t>065X000) отражены вложения в объекты имущества казны в общей сумме 1571997245 рубля 47 копеек на начало отчетного года и 2747535393 рубля 00 копеек на конец отчетного периода.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Расхождение показателей формы 0503321 Консолидированный отчет о финансовых резул</w:t>
      </w:r>
      <w:r>
        <w:rPr>
          <w:rFonts w:ascii="PT Astra Serif" w:hAnsi="PT Astra Serif" w:cs="PT Astra Serif"/>
          <w:sz w:val="28"/>
          <w:szCs w:val="28"/>
          <w:highlight w:val="white"/>
        </w:rPr>
        <w:t>ьтатах деятельности и формы 0503368 Сведения о движении нефинансовых активов консолидированного бюджета в сумме 158617765 рублей 84 копейки сложилось в части показателей по счету 110652 000 «Вложения в движимое имущество государственной (муниципальной) каз</w:t>
      </w:r>
      <w:r>
        <w:rPr>
          <w:rFonts w:ascii="PT Astra Serif" w:hAnsi="PT Astra Serif" w:cs="PT Astra Serif"/>
          <w:sz w:val="28"/>
          <w:szCs w:val="28"/>
          <w:highlight w:val="white"/>
        </w:rPr>
        <w:t>ны».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Отрицательные показатели в форме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>0503321 Консолидированный отчет о финансовых результатах деятельности сложились: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 классификации сектора государственного управления 125 «Проценты по предоставленным заимствованиям», а также по строке 931 «обслуживани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е </w:t>
      </w:r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внутренних привлеченных заимствований (в части процентов, пеней и штрафных санкций по полученным бюджетным кредитам)» в сумме 289776 рублей 68 копеек в связи с перерасчетом процентов по предоставленному бюджетному кредиту из областного бюджета  бюджету г</w:t>
      </w:r>
      <w:r>
        <w:rPr>
          <w:rFonts w:ascii="PT Astra Serif" w:hAnsi="PT Astra Serif" w:cs="PT Astra Serif"/>
          <w:sz w:val="28"/>
          <w:szCs w:val="28"/>
          <w:highlight w:val="white"/>
        </w:rPr>
        <w:t>ородского округа области;</w:t>
      </w:r>
      <w:proofErr w:type="gramEnd"/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классификации сектора государственного управления 12К «Доходы от концессионной платы» в связи с корректировкой расчетов по концессионному соглашению;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red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по классификации сектора государственного управления 172 «Доходы от выбытий акти</w:t>
      </w:r>
      <w:r>
        <w:rPr>
          <w:rFonts w:ascii="PT Astra Serif" w:hAnsi="PT Astra Serif" w:cs="PT Astra Serif"/>
          <w:sz w:val="28"/>
          <w:szCs w:val="28"/>
          <w:highlight w:val="white"/>
        </w:rPr>
        <w:t>вов» на разницу между принятием и выбытием объектов основных средств;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классификации сектора государственного управления 173 «Чрезвычайные доходы от операций с активами» в связи с превышением показателей списаний дебиторской задолженности по доходам над </w:t>
      </w:r>
      <w:r>
        <w:rPr>
          <w:rFonts w:ascii="PT Astra Serif" w:hAnsi="PT Astra Serif" w:cs="PT Astra Serif"/>
          <w:sz w:val="28"/>
          <w:szCs w:val="28"/>
          <w:highlight w:val="white"/>
        </w:rPr>
        <w:t>показателями по списанию кредиторской задолженности;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классификации сектора государственного управления 176 «Доходы от оценки активов и обязательств» в связи с уменьшением кадастровой стоимости земельных участков;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по классификации сектора государственного у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правления 231 </w:t>
      </w:r>
      <w:bookmarkStart w:id="0" w:name="undefined"/>
      <w:bookmarkEnd w:id="0"/>
      <w:r>
        <w:rPr>
          <w:rFonts w:ascii="PT Astra Serif" w:hAnsi="PT Astra Serif" w:cs="PT Astra Serif"/>
          <w:sz w:val="28"/>
          <w:szCs w:val="28"/>
          <w:highlight w:val="white"/>
        </w:rPr>
        <w:t>«Обслуживание внутреннего долга» в связи с перерасчетом процентов за пользование бюджетными кредитами, предоставленными министерством финансов области муниципальным образованиям и предоставленными финансовым органом муниципального района бюдж</w:t>
      </w:r>
      <w:r>
        <w:rPr>
          <w:rFonts w:ascii="PT Astra Serif" w:hAnsi="PT Astra Serif" w:cs="PT Astra Serif"/>
          <w:sz w:val="28"/>
          <w:szCs w:val="28"/>
          <w:highlight w:val="white"/>
        </w:rPr>
        <w:t>ету городского поселения, в связи с их досрочным погашением;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по классификации сектора государственного управления 297 «Иные выплаты текущего характера организациям» в связи с уточнением резерва по претензиям и искам.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Начисленные расходы по перечислению дру</w:t>
      </w:r>
      <w:r>
        <w:rPr>
          <w:rFonts w:ascii="PT Astra Serif" w:hAnsi="PT Astra Serif" w:cs="PT Astra Serif"/>
          <w:sz w:val="28"/>
          <w:szCs w:val="28"/>
          <w:highlight w:val="white"/>
        </w:rPr>
        <w:t>гим бюджетам бюджетной системы Российской Федерации в Консолидированном отчете о финансовых результатах деятельности (ф. 0503321), отраженные по строке 231 «Перечисления текущего характера другим бюджетам бюджетной системы Российской Федерации» в графе 4 в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сумме 3990252481 рубль 62 копейки, не соответствуют показателям в Справке по консолидированным расчетам (ф. 0503125) по счету </w:t>
      </w:r>
      <w:r>
        <w:rPr>
          <w:rFonts w:ascii="PT Astra Serif" w:hAnsi="PT Astra Serif" w:cs="PT Astra Serif"/>
          <w:sz w:val="28"/>
          <w:szCs w:val="28"/>
          <w:highlight w:val="white"/>
        </w:rPr>
        <w:br/>
        <w:t>1 401 20 251 «Расходы на перечисления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другим бюджетам бюджетной системы Российской Федерации» в сумме 3937639439 рублей 29 копее</w:t>
      </w:r>
      <w:r>
        <w:rPr>
          <w:rFonts w:ascii="PT Astra Serif" w:hAnsi="PT Astra Serif" w:cs="PT Astra Serif"/>
          <w:sz w:val="28"/>
          <w:szCs w:val="28"/>
          <w:highlight w:val="white"/>
        </w:rPr>
        <w:t>к на сумму 52613042 рубля 33 копейки, в том числе: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сумме  31058669 рублей 98 копеек в связи с заключением договоров аренды на льготных условиях; 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в сумме 21554372 рубля 35 копеек на стоимость переданных прочих материальных запасов,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вложений в материальные запасы и вложений в программное обеспечение и базы данных муниципальным бюджетным и автономным учреждениям Саратовской области на сумму 12259818 рублей 03 копейки, прочих материальных запасов государственному бюджетному учреждению </w:t>
      </w:r>
      <w:r>
        <w:rPr>
          <w:rFonts w:ascii="PT Astra Serif" w:hAnsi="PT Astra Serif" w:cs="PT Astra Serif"/>
          <w:sz w:val="28"/>
          <w:szCs w:val="28"/>
          <w:highlight w:val="white"/>
        </w:rPr>
        <w:t>области из бюджета территориального фонда обязательного медицинского страхования области в сумме 94564 рубля 63 копейки, государственному бюджетному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учреждению другого субъекта Российской Федерации в сумме 9198535 рублей 50 копеек, а также федеральному </w:t>
      </w:r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гос</w:t>
      </w:r>
      <w:r>
        <w:rPr>
          <w:rFonts w:ascii="PT Astra Serif" w:hAnsi="PT Astra Serif" w:cs="PT Astra Serif"/>
          <w:sz w:val="28"/>
          <w:szCs w:val="28"/>
          <w:highlight w:val="white"/>
        </w:rPr>
        <w:t>ударственному бюджетному учреждению Российской Федерации в сумме 1454 рубля 19 копеек.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 Сведениях по дебиторской и кредиторской задолженности (форма 0503369) показатель дебиторской задолженности: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по счету бюджетного учета </w:t>
      </w:r>
      <w:r>
        <w:rPr>
          <w:rFonts w:ascii="PT Astra Serif" w:hAnsi="PT Astra Serif" w:cs="PT Astra Serif"/>
          <w:sz w:val="28"/>
          <w:szCs w:val="28"/>
          <w:highlight w:val="white"/>
        </w:rPr>
        <w:t>130306000 «Расчеты по страховым в</w:t>
      </w:r>
      <w:r>
        <w:rPr>
          <w:rFonts w:ascii="PT Astra Serif" w:hAnsi="PT Astra Serif" w:cs="PT Astra Serif"/>
          <w:sz w:val="28"/>
          <w:szCs w:val="28"/>
          <w:highlight w:val="white"/>
        </w:rPr>
        <w:t>зносам на обязательное социальное страхование от несчастных случаев на производстве и профессиональных заболеваний»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 xml:space="preserve">  по коду вида расходов бюджета 313  «Пособия, компенсации, меры социальной поддержки по публичным нормативным обязательствам» отражены </w:t>
      </w:r>
      <w:r>
        <w:rPr>
          <w:rStyle w:val="span-8-c"/>
          <w:rFonts w:ascii="PT Astra Serif" w:hAnsi="PT Astra Serif" w:cs="PT Astra Serif"/>
          <w:b w:val="0"/>
          <w:bCs w:val="0"/>
          <w:i w:val="0"/>
          <w:iCs w:val="0"/>
          <w:sz w:val="28"/>
          <w:szCs w:val="28"/>
          <w:highlight w:val="white"/>
        </w:rPr>
        <w:t>страх</w:t>
      </w:r>
      <w:r>
        <w:rPr>
          <w:rStyle w:val="span-8-c"/>
          <w:rFonts w:ascii="PT Astra Serif" w:hAnsi="PT Astra Serif" w:cs="PT Astra Serif"/>
          <w:b w:val="0"/>
          <w:bCs w:val="0"/>
          <w:i w:val="0"/>
          <w:iCs w:val="0"/>
          <w:sz w:val="28"/>
          <w:szCs w:val="28"/>
          <w:highlight w:val="white"/>
        </w:rPr>
        <w:t>овые взносы на обязательное социальное страхование от несчастных случаев на производстве и профессиональных заболеваний (дебетовый остаток по счету 130306000 связан с переплатой взносов</w:t>
      </w:r>
      <w:proofErr w:type="gramEnd"/>
      <w:r>
        <w:rPr>
          <w:rStyle w:val="span-8-c"/>
          <w:rFonts w:ascii="PT Astra Serif" w:hAnsi="PT Astra Serif" w:cs="PT Astra Serif"/>
          <w:b w:val="0"/>
          <w:bCs w:val="0"/>
          <w:i w:val="0"/>
          <w:iCs w:val="0"/>
          <w:sz w:val="28"/>
          <w:szCs w:val="28"/>
          <w:highlight w:val="white"/>
        </w:rPr>
        <w:t>)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, производимые медицинскими организациями работникам в порядке оказани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я социальной поддержки. В соответствии с письмом Министерства финансов Российской Федерации от 09.09.2020 г. № 03-15-07/79024 указанные выплаты признаются объектом обложения страховыми взносами в общеустановленном порядке на основании пункта 1 статьи 420 Н</w:t>
      </w:r>
      <w:r>
        <w:rPr>
          <w:rFonts w:ascii="PT Astra Serif" w:eastAsia="PT Astra Serif" w:hAnsi="PT Astra Serif" w:cs="PT Astra Serif"/>
          <w:color w:val="000000"/>
          <w:sz w:val="28"/>
          <w:szCs w:val="28"/>
          <w:highlight w:val="white"/>
        </w:rPr>
        <w:t>алогового Кодекса Российской Федерации;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дебетовый остаток по счету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121012000 «Расчеты по НДС по приобретенным материальным ценностям, работам, услугам» и коду вида расходов бюджета 247 «Закупка энергетических ресурсов» отражает не принятый НДС к вычету с з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атрат по поставке газ</w:t>
      </w:r>
      <w:proofErr w:type="gramStart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а ООО</w:t>
      </w:r>
      <w:proofErr w:type="gramEnd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«Газпром </w:t>
      </w:r>
      <w:proofErr w:type="spellStart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межрегионгаз</w:t>
      </w:r>
      <w:proofErr w:type="spellEnd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Саратов». </w:t>
      </w:r>
      <w:proofErr w:type="gramStart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В связи с сезонной деятельностью МКУ «</w:t>
      </w:r>
      <w:proofErr w:type="spellStart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Вольсктеплоэнерго</w:t>
      </w:r>
      <w:proofErr w:type="spellEnd"/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» в 3 и 4 квартале 2024 года сумма НДС с выставленных счетов меньше суммы НДС с предъявленных к вычету. </w:t>
      </w:r>
      <w:proofErr w:type="gramEnd"/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 счету 130301000 «Расчеты по налогу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на доходы физических лиц» в сумме 1519 рублей 00 копеек, 130302000 «Расчеты по страховым взносам на обязательное социальное страхование на случай временной нетрудоспособности и в связи с материнством» в сумме 26178 рублей 30 копеек, 130307000 «Расчеты по </w:t>
      </w:r>
      <w:r>
        <w:rPr>
          <w:rFonts w:ascii="PT Astra Serif" w:hAnsi="PT Astra Serif" w:cs="PT Astra Serif"/>
          <w:sz w:val="28"/>
          <w:szCs w:val="28"/>
          <w:highlight w:val="white"/>
        </w:rPr>
        <w:t>страховым взносам на обязательное медицинское страхование в Федеральный ФОМС» в сумме 404 рубля 36 копеек, 130310000 «Расчеты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 страховым взносам на обязательное пенсионное страхование на выплату страховой части трудовой пенсии» в сумме 1 742 рубля 06 коп</w:t>
      </w:r>
      <w:r>
        <w:rPr>
          <w:rFonts w:ascii="PT Astra Serif" w:hAnsi="PT Astra Serif" w:cs="PT Astra Serif"/>
          <w:sz w:val="28"/>
          <w:szCs w:val="28"/>
          <w:highlight w:val="white"/>
        </w:rPr>
        <w:t>еек, 130311000 «Расчеты по страховым взносам на обязательное пенсионное страхование на выплату накопительной части трудовой пенсии» в сумме 81 копейка, 130312000 «Расчеты по налогу на имущество организаций» в сумме 154 рубля 00 копеек, отражены дебетовые о</w:t>
      </w:r>
      <w:r>
        <w:rPr>
          <w:rFonts w:ascii="PT Astra Serif" w:hAnsi="PT Astra Serif" w:cs="PT Astra Serif"/>
          <w:sz w:val="28"/>
          <w:szCs w:val="28"/>
          <w:highlight w:val="white"/>
        </w:rPr>
        <w:t>статки средств, сложившиеся на начало 2023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spellStart"/>
      <w:r>
        <w:rPr>
          <w:rFonts w:ascii="PT Astra Serif" w:hAnsi="PT Astra Serif" w:cs="PT Astra Serif"/>
          <w:sz w:val="28"/>
          <w:szCs w:val="28"/>
          <w:highlight w:val="white"/>
        </w:rPr>
        <w:t>года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,з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>аявления</w:t>
      </w:r>
      <w:proofErr w:type="spell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в целях их зачета в счет последующих платежей или возврата не направлены в ИФНС на 1 января 2025 года, либо на рассмотрении;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 счету 130306000 «</w:t>
      </w:r>
      <w:r>
        <w:rPr>
          <w:rFonts w:ascii="PT Astra Serif" w:hAnsi="PT Astra Serif" w:cs="PT Astra Serif"/>
          <w:sz w:val="28"/>
          <w:szCs w:val="28"/>
          <w:highlight w:val="white"/>
        </w:rPr>
        <w:t>Расчеты по страховым взносам на обязательное социальное страхование от несчастных случаев на производстве и профессиональных заболеваний» в сумме 4164 рубля 74 копейки отражены дебетовые остатки средств на начало 2024 года в сумме 1976 рублей 31 копейка, 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также сумма переплаты по страховым взносам на обязательное социальное страхование от несчастных случаев на производстве и профессиональных заболеваний, в связи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с ошибочно начисленными взносами в сумме 2188 рублей 43 копейки.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Показатели долгосрочной дебито</w:t>
      </w:r>
      <w:r>
        <w:rPr>
          <w:rFonts w:ascii="PT Astra Serif" w:hAnsi="PT Astra Serif" w:cs="PT Astra Serif"/>
          <w:sz w:val="28"/>
          <w:szCs w:val="28"/>
          <w:highlight w:val="white"/>
        </w:rPr>
        <w:t>рской задолженности по счетам 1 205 51 000 «Расчеты по поступлениям текущего характера от других бюджетов бюджетной системы Российской Федерации», 1205 61 000 «Расчеты по поступлениям капитального характера от других бюджетов бюджетной системы Российской Ф</w:t>
      </w:r>
      <w:r>
        <w:rPr>
          <w:rFonts w:ascii="PT Astra Serif" w:hAnsi="PT Astra Serif" w:cs="PT Astra Serif"/>
          <w:sz w:val="28"/>
          <w:szCs w:val="28"/>
          <w:highlight w:val="white"/>
        </w:rPr>
        <w:t>едерации» на начало отчетного года отличаются от аналогичных показателей на конец предыдущего отчетного года на суммы 92032272557,80 рублей (графа «Консолидированный бюджет субъекта РФ – долгосрочная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>»), 46632934600,00 рублей (графа «Бюджет субъекта РФ – до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лгосрочная»), 45399337957,80 рублей (графа «Местные бюджеты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–д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>олгосрочная») в связи с разъяснениями, указанными в совместном письме Министерства финансов Российской Федерации и Федерального казначейства от 29.11.2024 г. №№ 02-06-06/120377, 07-04-05/02-3526</w:t>
      </w:r>
      <w:r>
        <w:rPr>
          <w:rFonts w:ascii="PT Astra Serif" w:hAnsi="PT Astra Serif" w:cs="PT Astra Serif"/>
          <w:sz w:val="28"/>
          <w:szCs w:val="28"/>
          <w:highlight w:val="white"/>
        </w:rPr>
        <w:t>3 «О дополнительных критериях по раскрытию информации при составлении и представлении годовой бюджетной отчетности, годовой консолидированной бухгалтерской отчетности государственных (муниципальных) бюджетных и автономных учреждений финансовыми органами су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бъектов Российской Федерации и органами управления государственными внебюджетными фондами Российской Федерации за 2024 год». 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Сведениях по дебиторской и кредиторской задолженности (форма 0503369) показатель кредиторской задолженности по налогу на доходы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физических лиц не отнесен к просроченной задолженности в связи с начислением заработной платы за декабрь 2024 года со сроком выплаты в январе 2025 года. 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Кредитовый остаток по единому налоговому платежу на начало 2024 года в сумме 130 рублей 00 копеек обра</w:t>
      </w:r>
      <w:r>
        <w:rPr>
          <w:rFonts w:ascii="PT Astra Serif" w:hAnsi="PT Astra Serif" w:cs="PT Astra Serif"/>
          <w:sz w:val="28"/>
          <w:szCs w:val="28"/>
          <w:highlight w:val="white"/>
        </w:rPr>
        <w:t>зовался в результате разбалансированности расчетов по кодам классификации расходов бюджетов бюджетной системы Российской Федерации в связи с перечислением денежных средств в объеме, недостаточном для исполнения денежного обязательства по налогу на доходы ф</w:t>
      </w:r>
      <w:r>
        <w:rPr>
          <w:rFonts w:ascii="PT Astra Serif" w:hAnsi="PT Astra Serif" w:cs="PT Astra Serif"/>
          <w:sz w:val="28"/>
          <w:szCs w:val="28"/>
          <w:highlight w:val="white"/>
        </w:rPr>
        <w:t>изических лиц, и имеющейся переплатой на едином налоговом счете по единому страховому тарифу.</w:t>
      </w:r>
      <w:proofErr w:type="gramEnd"/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Кредитовый остаток по единому налоговому платежу на конец 2024 года  в сумме 1898 рублей 00 копеек образовался в результате разбалансированности расчетов по кодам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классификации расходов бюджетов бюджетной системы Российской Федерации в связи с перечислением денежных средств с кодом целевой статьи, отличающимся от кода, указанного в уведомлении об исчисленном налоге на доходы физических лиц.</w:t>
      </w:r>
      <w:proofErr w:type="gramEnd"/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 Отчете об исполнении к</w:t>
      </w:r>
      <w:r>
        <w:rPr>
          <w:rFonts w:ascii="PT Astra Serif" w:hAnsi="PT Astra Serif" w:cs="PT Astra Serif"/>
          <w:sz w:val="28"/>
          <w:szCs w:val="28"/>
          <w:highlight w:val="white"/>
        </w:rPr>
        <w:t>онсолидированного бюджета субъекта Российской Федерации и бюджета территориального государственного внебюджетного фонда (форма 0503317):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 кодам дохода 000 2 18 45136 09 0000 150 «Доходы бюджета территориального фонда обязательного медицинского страхован</w:t>
      </w:r>
      <w:r>
        <w:rPr>
          <w:rFonts w:ascii="PT Astra Serif" w:hAnsi="PT Astra Serif" w:cs="PT Astra Serif"/>
          <w:sz w:val="28"/>
          <w:szCs w:val="28"/>
          <w:highlight w:val="white"/>
        </w:rPr>
        <w:t>ия от возврата остатков межбюджетных трансфертов прошлых лет на осуществление единовременных выплат медицинским работникам» и 000 2 19 45136 02 0000 150 «Возврат остатков межбюджетных трансфертов прошлых лет на осуществление единовременных выплат медицинск</w:t>
      </w:r>
      <w:r>
        <w:rPr>
          <w:rFonts w:ascii="PT Astra Serif" w:hAnsi="PT Astra Serif" w:cs="PT Astra Serif"/>
          <w:sz w:val="28"/>
          <w:szCs w:val="28"/>
          <w:highlight w:val="white"/>
        </w:rPr>
        <w:t>им работникам из бюджетов субъектов Российской Федерации» отражены суммы, подлежащие исключению в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рамках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консолидируемых бюджетов субъекта РФ и ТГВФ, в сумме 234890 рублей 55 копеек; 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 xml:space="preserve">несоответствие консолидируемых  кодов дохода 000 2 19 60010 04 0000 150 </w:t>
      </w:r>
      <w:r>
        <w:rPr>
          <w:rFonts w:ascii="PT Astra Serif" w:hAnsi="PT Astra Serif" w:cs="PT Astra Serif"/>
          <w:sz w:val="28"/>
          <w:szCs w:val="28"/>
          <w:highlight w:val="white"/>
        </w:rPr>
        <w:t>«Возврат прочих остатков субсидий, субвенций и иных межбюджетных трансфертов, имеющих целевое назначение, прошлых лет из бюджетов городских округов» и 000 2 18 90000 02 0000 150 «Доходы бюджетов субъектов Российской Федерации от возврата остатков субсидий,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субвенций и иных межбюджетных трансфертов, имеющих целевое назначение, прошлых лет из бюджетов субъектов Российской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Федерации» в сумме 16 112 рублей 77 копеек сложилось в связи с ошибочным отнесением на код дохода 000 2 18 90000 02 0000 150 возврата субси</w:t>
      </w:r>
      <w:r>
        <w:rPr>
          <w:rFonts w:ascii="PT Astra Serif" w:hAnsi="PT Astra Serif" w:cs="PT Astra Serif"/>
          <w:sz w:val="28"/>
          <w:szCs w:val="28"/>
          <w:highlight w:val="white"/>
        </w:rPr>
        <w:t>дии бюджету Саратовской области на реализацию мероприятий по переселению граждан из аварийного жилищного фонда за счет средств резервного фонда Правительства Российской Федерации по коду цели 20-58220-00000-00000</w:t>
      </w:r>
      <w:r>
        <w:rPr>
          <w:rFonts w:ascii="PT Astra Serif" w:hAnsi="PT Astra Serif" w:cs="PT Astra Serif"/>
          <w:sz w:val="28"/>
          <w:szCs w:val="28"/>
        </w:rPr>
        <w:t>;</w:t>
      </w:r>
      <w:proofErr w:type="gramEnd"/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по строке 981 «в том числе по видам выбыти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й: субсидии» графы 11 «Поступления – бюджеты сельских поселений» отражены горизонтальные субсидии между бюджетами сельских поселений в сумме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br/>
        <w:t>1293023 рубля 82 копейки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Расхождение показателей формы 0503317 Отчет об исполнении консолидированного бюджета суб</w:t>
      </w:r>
      <w:r>
        <w:rPr>
          <w:rFonts w:ascii="PT Astra Serif" w:hAnsi="PT Astra Serif" w:cs="PT Astra Serif"/>
          <w:sz w:val="28"/>
          <w:szCs w:val="28"/>
          <w:highlight w:val="white"/>
        </w:rPr>
        <w:t>ъекта Российской Федерации и бюджета территориального государственного внебюджетного фонда с формой 0503125 Справка по консолидируемым расчетам, а также формы 0503369 Сведения по дебиторской и кредиторской задолженности с формой 0503125 Справка по консолид</w:t>
      </w:r>
      <w:r>
        <w:rPr>
          <w:rFonts w:ascii="PT Astra Serif" w:hAnsi="PT Astra Serif" w:cs="PT Astra Serif"/>
          <w:sz w:val="28"/>
          <w:szCs w:val="28"/>
          <w:highlight w:val="white"/>
        </w:rPr>
        <w:t>ируемым расчетам сложилось в результате отнесения иного межбюджетного трансферта из бюджета городского поселения в бюджет муниципального района на код доходов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бюджета 1 17 01010 01 6000 180 «Невыясненные поступления, зачисляемые в федеральный бюджет (федер</w:t>
      </w:r>
      <w:r>
        <w:rPr>
          <w:rFonts w:ascii="PT Astra Serif" w:hAnsi="PT Astra Serif" w:cs="PT Astra Serif"/>
          <w:sz w:val="28"/>
          <w:szCs w:val="28"/>
          <w:highlight w:val="white"/>
        </w:rPr>
        <w:t>альные государственные органы, Банк России, органы управления государственными внебюджетными фондами Российской Федерации)» в сумме 50 000 рублей 00 копеек в последних числах декабря 2024 года и отражением указанной суммы на остатке по счету 1 206 51 000 «</w:t>
      </w:r>
      <w:r>
        <w:rPr>
          <w:rFonts w:ascii="PT Astra Serif" w:hAnsi="PT Astra Serif" w:cs="PT Astra Serif"/>
          <w:sz w:val="28"/>
          <w:szCs w:val="28"/>
          <w:highlight w:val="white"/>
        </w:rPr>
        <w:t>Расчеты по перечислениям текущего характера другим бюджетам бюджетной системы Российской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Федерации»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Расхождение показателей </w:t>
      </w:r>
      <w:r>
        <w:rPr>
          <w:rFonts w:ascii="PT Astra Serif" w:hAnsi="PT Astra Serif" w:cs="PT Astra Serif"/>
          <w:sz w:val="28"/>
          <w:szCs w:val="28"/>
          <w:highlight w:val="white"/>
        </w:rPr>
        <w:t>Отчета об исполнении консолидированного бюджета субъекта Российской Федерации и бюджета территориального государственного внебюджет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ного фонда (форма 0503317) и консолидированного отчета о движении денежных средств (форма </w:t>
      </w: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>0503323):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color w:val="000000"/>
          <w:sz w:val="28"/>
          <w:szCs w:val="28"/>
          <w:highlight w:val="white"/>
        </w:rPr>
        <w:t xml:space="preserve"> на сумму 451113 рублей 00 копеек сложилось в связи с остатком в кассе денежных средств</w:t>
      </w:r>
      <w:r>
        <w:rPr>
          <w:rFonts w:ascii="PT Astra Serif" w:hAnsi="PT Astra Serif" w:cs="PT Astra Serif"/>
          <w:sz w:val="28"/>
          <w:szCs w:val="28"/>
          <w:highlight w:val="white"/>
        </w:rPr>
        <w:t>;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на сумму 0 рублей 03 копейки сложилось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 xml:space="preserve">в связи с отражением </w:t>
      </w:r>
      <w:r>
        <w:rPr>
          <w:rFonts w:ascii="PT Astra Serif" w:eastAsia="Arial" w:hAnsi="PT Astra Serif" w:cs="PT Astra Serif"/>
          <w:color w:val="222222"/>
          <w:sz w:val="28"/>
          <w:szCs w:val="28"/>
          <w:highlight w:val="white"/>
        </w:rPr>
        <w:t>доходов от предоставления права на заключение государственного контракта по коду</w:t>
      </w:r>
      <w:proofErr w:type="gramEnd"/>
      <w:r>
        <w:rPr>
          <w:rFonts w:ascii="PT Astra Serif" w:eastAsia="Arial" w:hAnsi="PT Astra Serif" w:cs="PT Astra Serif"/>
          <w:color w:val="222222"/>
          <w:sz w:val="28"/>
          <w:szCs w:val="28"/>
          <w:highlight w:val="white"/>
        </w:rPr>
        <w:t xml:space="preserve"> классификации операций сектора государственного управления 129 «Иные доходы от собственности» и коду доходов </w:t>
      </w:r>
      <w:r>
        <w:rPr>
          <w:rFonts w:ascii="PT Astra Serif" w:hAnsi="PT Astra Serif" w:cs="PT Astra Serif"/>
          <w:sz w:val="28"/>
          <w:szCs w:val="28"/>
          <w:highlight w:val="white"/>
        </w:rPr>
        <w:t>бюджета 11705020020000180 «Прочие неналоговые доходы бюджета субъе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кта Российской Федерации». 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Расхождения показателей формы 0503317 Отчет об исполнении консолидированного бюджета субъекта Российской Федерации и бюджета территориального государственного внебюджетного фонда с формой 0503387 Справочная таблица к отчету об 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сполнении консолидированного бюджета субъекта Российской Федерации сложились в результате отражения расходов на осуществление воинского учета на территориях, где отсутствуют военные </w:t>
      </w:r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комиссариаты по строкам 00200, 00210, 00220, 00230, а так же по кодам стро</w:t>
      </w:r>
      <w:r>
        <w:rPr>
          <w:rFonts w:ascii="PT Astra Serif" w:hAnsi="PT Astra Serif" w:cs="PT Astra Serif"/>
          <w:sz w:val="28"/>
          <w:szCs w:val="28"/>
          <w:highlight w:val="white"/>
        </w:rPr>
        <w:t>к 00800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>, 00801, 00802, 00803. Полномочия Российской Федерации на осуществление воинского учета на территориях, где отсутствуют структурные подразделения военных комиссариатов, передаются соответствующим органам местного самоуправления поселений и органам м</w:t>
      </w:r>
      <w:r>
        <w:rPr>
          <w:rFonts w:ascii="PT Astra Serif" w:hAnsi="PT Astra Serif" w:cs="PT Astra Serif"/>
          <w:sz w:val="28"/>
          <w:szCs w:val="28"/>
          <w:highlight w:val="white"/>
        </w:rPr>
        <w:t>естного самоуправления городских округов в соответствии со статьей 8 Федерального закона «О воинской обязанности и воинской службе». Органы местного самоуправления поселений и органы местного самоуправления городских округов осуществляют первичный воинский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учет граждан, проживающих или пребывающих на территориях указанных муниципальных образований. Работники, исполняющие указанные полномочия, состоят в штате администраций органов местного самоуправления.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Расходы на осуществление передаваемых полномочий на о</w:t>
      </w:r>
      <w:r>
        <w:rPr>
          <w:rFonts w:ascii="PT Astra Serif" w:hAnsi="PT Astra Serif" w:cs="PT Astra Serif"/>
          <w:sz w:val="28"/>
          <w:szCs w:val="28"/>
          <w:highlight w:val="white"/>
        </w:rPr>
        <w:t>существление первичного воинского учета производятся за счет субвенций из федерального бюджета на указанные цели, поэтому в Справочной таблице к отчету об исполнении консолидированного бюджета субъекта Российской Федерации (форма 0503387) отражены по кодам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строк 00801 «фонд оплаты труда государственных (муниципальных) органов», 00802 «иные выплаты персоналу государственных (муниципальных) органов, за исключением фонда оплаты труда», 00803 «взносы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 обязательному социальному страхованию на выплаты денежного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содержания и иные выплаты работникам  государственных (муниципальных) органов» и в составе расходов на содержание органов местного самоуправления по кодам строк 00210 «фонд оплаты труда государственных  (муниципальных) органов», 00220 «иные выплаты персон</w:t>
      </w:r>
      <w:r>
        <w:rPr>
          <w:rFonts w:ascii="PT Astra Serif" w:hAnsi="PT Astra Serif" w:cs="PT Astra Serif"/>
          <w:sz w:val="28"/>
          <w:szCs w:val="28"/>
          <w:highlight w:val="white"/>
        </w:rPr>
        <w:t>алу государственных (муниципальных) органов, за исключением фонда оплаты  труда», 00230 «взносы по обязательному социальному страхованию на выплаты денежного содержания и иные выплаты работникам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 государственных  (муниципальных) органов».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В показатели Бала</w:t>
      </w:r>
      <w:r>
        <w:rPr>
          <w:rFonts w:ascii="PT Astra Serif" w:hAnsi="PT Astra Serif" w:cs="PT Astra Serif"/>
          <w:sz w:val="28"/>
          <w:szCs w:val="28"/>
          <w:highlight w:val="white"/>
        </w:rPr>
        <w:t>нса исполнения консолидированного бюджета субъекта Российской Федерации и бюджета Территориального государственного внебюджетного фонда (ф. 0503320) по строкам 250 «Дебиторская задолженность по доходам (020500000, 020900000), всего», 510 «Доходы будущих пе</w:t>
      </w:r>
      <w:r>
        <w:rPr>
          <w:rFonts w:ascii="PT Astra Serif" w:hAnsi="PT Astra Serif" w:cs="PT Astra Serif"/>
          <w:sz w:val="28"/>
          <w:szCs w:val="28"/>
          <w:highlight w:val="white"/>
        </w:rPr>
        <w:t>риодов (040140000)» включаются начисленные доходы будущих периодов по предоставляемым в 2025 – 2027 гг. межбюджетным трансфертам, отраженные в графе «суммы, подлежащие исключению в рамках консолидированного бюджета субъекта РФ», из бюджета Саратовской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обла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сти в бюджеты муниципальных образований области по счетам бюджетного учета 1 205 51 000 «Расчеты по поступлениям текущего характера от других бюджетов бюджетной системы Российской Федерации» в сумме 106234603569 рублей 74 копейки, 1 205 61 000 «Расчеты по </w:t>
      </w:r>
      <w:r>
        <w:rPr>
          <w:rFonts w:ascii="PT Astra Serif" w:hAnsi="PT Astra Serif" w:cs="PT Astra Serif"/>
          <w:sz w:val="28"/>
          <w:szCs w:val="28"/>
          <w:highlight w:val="white"/>
        </w:rPr>
        <w:t>поступлениям капитального характера от других бюджетов бюджетной системы Российской Федерации» в сумме 2908073484 рубля 24 копейки, 1 401 49 151 «Доходы будущих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периодов к признанию в очередные года» в сумме 106234603569 рублей 74 копейки, 1 401 49 161 «До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ходы будущих периодов к признанию в очередные года» в сумме 2908073484 рубля 24 копейки;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 xml:space="preserve">из бюджетов муниципальных районов области в бюджеты городских и сельских поселений области, из бюджетов городских и сельских поселений области в бюджеты муниципальных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районов области по счетам бюджетного учета 1 205 51 000 «Расчеты по поступлениям текущего характера от других бюджетов бюджетной системы Российской Федерации» в сумме 4268946965 рублей 98 </w:t>
      </w:r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копеек, 1 401 49 151 «Доходы будущих периодов от поступлений текущег</w:t>
      </w:r>
      <w:r>
        <w:rPr>
          <w:rFonts w:ascii="PT Astra Serif" w:hAnsi="PT Astra Serif" w:cs="PT Astra Serif"/>
          <w:sz w:val="28"/>
          <w:szCs w:val="28"/>
          <w:highlight w:val="white"/>
        </w:rPr>
        <w:t>о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характера от других бюджетов бюджетной системы Российской Федерации» в сумме 4268946965 рублей 98 копеек.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Превышение показателей строки 271 «из них: долгосрочные» над строкой 270 «Расчеты по кредитам, займам (ссудам) (020700000), всего» на суммы  8896723</w:t>
      </w:r>
      <w:r>
        <w:rPr>
          <w:rFonts w:ascii="PT Astra Serif" w:hAnsi="PT Astra Serif" w:cs="PT Astra Serif"/>
          <w:sz w:val="28"/>
          <w:szCs w:val="28"/>
          <w:highlight w:val="white"/>
        </w:rPr>
        <w:t>577,10 и 7396392453,04 рублей на начало и конец отчетного периода соответственно Баланса исполнения консолидированного бюджета субъекта Российской Федерации и бюджета Территориального государственного внебюджетного фонда (ф. 0503320) связано с взаимоисключ</w:t>
      </w:r>
      <w:r>
        <w:rPr>
          <w:rFonts w:ascii="PT Astra Serif" w:hAnsi="PT Astra Serif" w:cs="PT Astra Serif"/>
          <w:sz w:val="28"/>
          <w:szCs w:val="28"/>
          <w:highlight w:val="white"/>
        </w:rPr>
        <w:t>ением расчетов по бюджетным кредитам по строкам 270 и 400 и отсутствием взаимоисключения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долгосрочных расчетов по бюджетным кредитам по строкам 271 и 401. 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Расхождение показателей Баланса исполнения консолидированного бюджета субъекта Российской Федерации </w:t>
      </w:r>
      <w:r>
        <w:rPr>
          <w:rFonts w:ascii="PT Astra Serif" w:hAnsi="PT Astra Serif" w:cs="PT Astra Serif"/>
          <w:sz w:val="28"/>
          <w:szCs w:val="28"/>
          <w:highlight w:val="white"/>
        </w:rPr>
        <w:t>и бюджета Территориального государственного внебюджетного фонда (ф. 0503320) и Сведений о государственном (муниципальном) долге, предоставленных бюджетных кредитах консолидированного бюджета (ф. 0503372) в сумме 2 541 993 рубля 91 копейка, связано с отсутс</w:t>
      </w:r>
      <w:r>
        <w:rPr>
          <w:rFonts w:ascii="PT Astra Serif" w:hAnsi="PT Astra Serif" w:cs="PT Astra Serif"/>
          <w:sz w:val="28"/>
          <w:szCs w:val="28"/>
          <w:highlight w:val="white"/>
        </w:rPr>
        <w:t>твием в форме 0503372 данных по счету 1 301 14 000 «Расчеты по заимствованиям, не являющимся государственным (муниципальным) долгом» - задолженность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перед муниципальным унитарным предприятием области,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сложившаяся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до реорганизации муниципального унитарного </w:t>
      </w:r>
      <w:r>
        <w:rPr>
          <w:rFonts w:ascii="PT Astra Serif" w:hAnsi="PT Astra Serif" w:cs="PT Astra Serif"/>
          <w:sz w:val="28"/>
          <w:szCs w:val="28"/>
          <w:highlight w:val="white"/>
        </w:rPr>
        <w:t>предприятия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  <w:highlight w:val="white"/>
        </w:rPr>
        <w:t>в муниципальное казенное учреждение.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В показатели формы 0503321 Консолидированный отчет о финансовых результатах деятельности по строке 481 «в том числе: увеличение прочей дебиторской задолженности» включены показатели увеличений по счетам: 120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551000 «Расчеты по поступлениям текущего характера от других бюджетов бюджетной системы Российской Федерации», 120561000 «Расчеты по поступлениям капитального характера от других бюджетов бюджетной системы Российской Федерации» в части начисленных доходов </w:t>
      </w:r>
      <w:r>
        <w:rPr>
          <w:rFonts w:ascii="PT Astra Serif" w:hAnsi="PT Astra Serif" w:cs="PT Astra Serif"/>
          <w:sz w:val="28"/>
          <w:szCs w:val="28"/>
          <w:highlight w:val="white"/>
        </w:rPr>
        <w:t>будущих периодов по предоставляемым в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2025 – 2027 гг. межбюджетным трансфертам.</w:t>
      </w:r>
    </w:p>
    <w:p w:rsidR="003869BD" w:rsidRDefault="001C41EA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Расшифровка вложений в разрезе каждой организации-эмитента, отраженных в Сведениях о финансовых вложениях (ф. 0503371) по счету 1 204 31 000 «Акции», сумма остатка по которому </w:t>
      </w:r>
      <w:r>
        <w:rPr>
          <w:rFonts w:ascii="PT Astra Serif" w:hAnsi="PT Astra Serif" w:cs="PT Astra Serif"/>
          <w:sz w:val="28"/>
          <w:szCs w:val="28"/>
          <w:highlight w:val="white"/>
        </w:rPr>
        <w:t>на конец отчетного периода составила 1093852215,04 рублей:</w:t>
      </w:r>
    </w:p>
    <w:p w:rsidR="003869BD" w:rsidRDefault="003869BD">
      <w:pPr>
        <w:ind w:firstLine="709"/>
        <w:jc w:val="both"/>
        <w:rPr>
          <w:rFonts w:ascii="PT Astra Serif" w:hAnsi="PT Astra Serif" w:cs="PT Astra Serif"/>
          <w:sz w:val="14"/>
          <w:szCs w:val="14"/>
          <w:highlight w:val="white"/>
        </w:rPr>
      </w:pPr>
    </w:p>
    <w:tbl>
      <w:tblPr>
        <w:tblStyle w:val="aff3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276"/>
        <w:gridCol w:w="5102"/>
        <w:gridCol w:w="1701"/>
      </w:tblGrid>
      <w:tr w:rsidR="003869BD">
        <w:trPr>
          <w:trHeight w:val="300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highlight w:val="white"/>
              </w:rPr>
              <w:t xml:space="preserve">Сумма, </w:t>
            </w:r>
            <w:proofErr w:type="spellStart"/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highlight w:val="white"/>
              </w:rPr>
              <w:t>руб</w:t>
            </w:r>
            <w:proofErr w:type="spellEnd"/>
          </w:p>
        </w:tc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highlight w:val="white"/>
              </w:rPr>
              <w:t>Эмитент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highlight w:val="white"/>
              </w:rPr>
              <w:t>Наименование бюджета</w:t>
            </w:r>
          </w:p>
        </w:tc>
      </w:tr>
      <w:tr w:rsidR="003869BD">
        <w:trPr>
          <w:trHeight w:val="570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highlight w:val="white"/>
              </w:rPr>
              <w:t>ИНН</w:t>
            </w:r>
          </w:p>
        </w:tc>
        <w:tc>
          <w:tcPr>
            <w:tcW w:w="51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  <w:highlight w:val="white"/>
              </w:rPr>
              <w:t>Наименование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400 693 304,00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6451407103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«КОРПОРАЦИЯ РАЗВИТИЯ САРАТОВСКОЙ ОБЛАСТИ»"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областной бюджет</w:t>
            </w:r>
          </w:p>
        </w:tc>
      </w:tr>
      <w:tr w:rsidR="003869BD">
        <w:trPr>
          <w:trHeight w:val="12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432 960 000,00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6455046176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«ГАРАНТИЙНЫЙ ФОНД ДЛЯ СУБЪЕКТОВ МАЛОГО ПРЕДПРИНИМАТЕЛЬСТВА САРАТОВСКОЙ ОБЛАСТИ»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88 904 662,40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6439064386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«ВОЛГА»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12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84 547 302,00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6454038461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КОММУНАЛЬНЫХ ЭЛЕКТРИЧЕСКИХ СЕТЕЙ САРАТОВСКОЙ ОБЛАСТИ «ОБЛКОММУНЭНЕРГО»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6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lastRenderedPageBreak/>
              <w:t>106 200,00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6417000029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«КРАСНОКУТСКАЯ АВТОБАЗА»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6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7 005 596,00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6451416933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«МЕЖГОРОДТРАНС»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6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356 787,00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6451417006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«ПАССАЖИРТРАНС-1»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6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5 208 147,60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6452076479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«ЦЕНТРАЛЬНАЯ ДИСПЕТЧЕРСКАЯ СЛУЖБА»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9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49 000,00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6452950802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«САРАТОВСКАЯ ПРИГОРОДНАЯ ПАССАЖИРСКАЯ КОМПАНИЯ»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9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14 955 460,00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6452953031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«САРАТОВСКОЕ ОБЪЕДИНЕНИЕ АВТОВОКЗАЛОВ И АВТОСТАНЦИЙ»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6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48 885 361,04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6413004858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«САНАТОРИЙ-КУРОРТ ИМ. В. И. ЧАПАЕВА»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11 395,00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6451114530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«САРАТОВГАЗ»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бюджет МО г. Саратов</w:t>
            </w:r>
          </w:p>
        </w:tc>
      </w:tr>
      <w:tr w:rsidR="003869BD">
        <w:trPr>
          <w:trHeight w:val="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25 700,00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6449018558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КОНЦЕРН «АРТРОМЕД»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 xml:space="preserve">бюджет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Энгельсского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муниципаль-ного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 xml:space="preserve"> района</w:t>
            </w:r>
          </w:p>
        </w:tc>
      </w:tr>
      <w:tr w:rsidR="003869BD">
        <w:trPr>
          <w:trHeight w:val="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4 089 900,00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6449044773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4"/>
                <w:szCs w:val="24"/>
                <w:highlight w:val="white"/>
              </w:rPr>
              <w:t>ОТКРЫТОЕ АКЦИОНЕРНОЕ ОБЩЕСТВО «ЕДИНЫЙ РАСЧЕТНО-КАССОВЫЙ ЦЕНТР»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  <w:tr w:rsidR="003869BD">
        <w:trPr>
          <w:trHeight w:val="30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jc w:val="center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6 053 400,00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highlight w:val="white"/>
              </w:rPr>
              <w:t>6449050255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869BD" w:rsidRDefault="001C41EA">
            <w:pPr>
              <w:spacing w:line="57" w:lineRule="atLeast"/>
              <w:rPr>
                <w:rFonts w:ascii="PT Astra Serif" w:hAnsi="PT Astra Serif" w:cs="PT Astra Serif"/>
                <w:sz w:val="24"/>
                <w:szCs w:val="24"/>
                <w:highlight w:val="white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4"/>
                <w:szCs w:val="24"/>
                <w:highlight w:val="white"/>
              </w:rPr>
              <w:t>АКЦИОНЕРНОЕ ОБЩЕСТВО «АВТОКОЛОННА № 40»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9BD" w:rsidRDefault="003869BD"/>
        </w:tc>
      </w:tr>
    </w:tbl>
    <w:p w:rsidR="003869BD" w:rsidRDefault="003869BD">
      <w:pPr>
        <w:ind w:firstLine="709"/>
        <w:jc w:val="both"/>
        <w:rPr>
          <w:rFonts w:ascii="PT Astra Serif" w:hAnsi="PT Astra Serif" w:cs="PT Astra Serif"/>
          <w:sz w:val="14"/>
          <w:szCs w:val="14"/>
          <w:highlight w:val="white"/>
        </w:rPr>
      </w:pP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Показатель графы 21 «Кассовые расходы с начала реализации инвестиционного проекта – всего» в форме 0503190 Сведения о вложениях в объекты недвижимого имущества, объектах незавершенного строительства меньше, чем показатель графы 20 «фактические (по счету 01</w:t>
      </w:r>
      <w:r>
        <w:rPr>
          <w:rFonts w:ascii="PT Astra Serif" w:hAnsi="PT Astra Serif" w:cs="PT Astra Serif"/>
          <w:sz w:val="28"/>
          <w:szCs w:val="28"/>
          <w:highlight w:val="white"/>
        </w:rPr>
        <w:t>06Х1000) на конец года» в связи с безвозмездной передачей фактических затрат от одного балансодержателя к другому с указанием фактических расходов (переданы показатели сформированных вложений в недвижимое имущество по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акту приема-передачи НФА), без передач</w:t>
      </w:r>
      <w:r>
        <w:rPr>
          <w:rFonts w:ascii="PT Astra Serif" w:hAnsi="PT Astra Serif" w:cs="PT Astra Serif"/>
          <w:sz w:val="28"/>
          <w:szCs w:val="28"/>
          <w:highlight w:val="white"/>
        </w:rPr>
        <w:t>и показателей ранее произведенных кассовых расходов (по акту приема-передачи НФА не передаются).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В форме 0503190 Сведения о вложениях в объекты недвижимого имущества, объектах незавершенного строительства сумма фактических расходов (в связке ИНН графа 2, у</w:t>
      </w:r>
      <w:r>
        <w:rPr>
          <w:rFonts w:ascii="PT Astra Serif" w:hAnsi="PT Astra Serif" w:cs="PT Astra Serif"/>
          <w:sz w:val="28"/>
          <w:szCs w:val="28"/>
          <w:highlight w:val="white"/>
        </w:rPr>
        <w:t>четный номер граф 5, 6) на начало года не соответствует показателям  предыдущего года (в связке ИНН графы 3, учетный номер граф 6, 7) в связи с изменением и (или) корректировкой данных по объектам (уточнение наименования объекта, ИНН учреждения, код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  <w:highlight w:val="white"/>
        </w:rPr>
        <w:t>объект</w:t>
      </w:r>
      <w:r>
        <w:rPr>
          <w:rFonts w:ascii="PT Astra Serif" w:hAnsi="PT Astra Serif" w:cs="PT Astra Serif"/>
          <w:sz w:val="28"/>
          <w:szCs w:val="28"/>
          <w:highlight w:val="white"/>
        </w:rPr>
        <w:t>а, кадастровый номер, сметная стоимость и т. д.) по причине исправления ошибок прошлых лет и приведения в соответствие учетного кода объекта графы 5,  с учетом требований Инструкции о порядке составления и представления годовой, квартальной и месячной отче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тности об исполнении бюджетов бюджетной системы Российской Федерации, утвержденной приказом Минфина России от 28 декабря 2010 г. </w:t>
      </w:r>
      <w:r>
        <w:rPr>
          <w:rFonts w:ascii="PT Astra Serif" w:hAnsi="PT Astra Serif" w:cs="PT Astra Serif"/>
          <w:sz w:val="28"/>
          <w:szCs w:val="28"/>
          <w:highlight w:val="white"/>
        </w:rPr>
        <w:br/>
        <w:t>№ 191н.</w:t>
      </w:r>
      <w:proofErr w:type="gramEnd"/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Согласно пункту 7 приказа Министерства финансов Российской Федерации от 28 декабря 2010 года № 191н «Об утверждении Ин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струкции о порядке </w:t>
      </w:r>
      <w:r>
        <w:rPr>
          <w:rFonts w:ascii="PT Astra Serif" w:hAnsi="PT Astra Serif" w:cs="PT Astra Serif"/>
          <w:sz w:val="28"/>
          <w:szCs w:val="28"/>
          <w:highlight w:val="white"/>
        </w:rPr>
        <w:lastRenderedPageBreak/>
        <w:t>составления и представления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</w:t>
      </w:r>
      <w:r>
        <w:rPr>
          <w:rFonts w:ascii="PT Astra Serif" w:hAnsi="PT Astra Serif" w:cs="PT Astra Serif"/>
          <w:sz w:val="28"/>
          <w:szCs w:val="28"/>
          <w:highlight w:val="white"/>
        </w:rPr>
        <w:t>ентаризация активов и обязательств.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>Выявленные при инвентаризации расхождения между фактическим наличием объектов и данными регистров бухгалтерского учета отражены в бухгалтерском учете в установленном законодательством порядке.</w:t>
      </w:r>
    </w:p>
    <w:p w:rsidR="003869BD" w:rsidRDefault="001C41EA">
      <w:pPr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proofErr w:type="gramStart"/>
      <w:r>
        <w:rPr>
          <w:rFonts w:ascii="PT Astra Serif" w:eastAsiaTheme="minorHAnsi" w:hAnsi="PT Astra Serif" w:cs="PT Astra Serif"/>
          <w:sz w:val="28"/>
          <w:szCs w:val="28"/>
          <w:highlight w:val="white"/>
        </w:rPr>
        <w:t xml:space="preserve">В связи с отсутствием числового значения в составе бюджетной отчетности об исполнении консолидированного бюджета субъекта Российской Федерации за отчетный период не представлена Справка по консолидируемым расчетам (ф. 0503125) по счетам </w:t>
      </w:r>
      <w:r>
        <w:rPr>
          <w:rFonts w:ascii="PT Astra Serif" w:hAnsi="PT Astra Serif" w:cs="PT Astra Serif"/>
          <w:sz w:val="28"/>
          <w:szCs w:val="28"/>
          <w:highlight w:val="white"/>
        </w:rPr>
        <w:t>1 206 51 000, 1 206 54 000, 1 206 54 561, 1 206 54 661, 1 302 54 000, 1 302 54 831, 1 301 21 000, 1 301</w:t>
      </w:r>
      <w:proofErr w:type="gramEnd"/>
      <w:r>
        <w:rPr>
          <w:rFonts w:ascii="PT Astra Serif" w:hAnsi="PT Astra Serif" w:cs="PT Astra Serif"/>
          <w:sz w:val="28"/>
          <w:szCs w:val="28"/>
          <w:highlight w:val="white"/>
        </w:rPr>
        <w:t xml:space="preserve"> 21 710, 1 301 31 000, 301 31 710, 301 31 810, 1 301 21 810, 1 304 06 000, 1 401 10 189.</w:t>
      </w:r>
    </w:p>
    <w:p w:rsidR="003869BD" w:rsidRDefault="003869BD">
      <w:pPr>
        <w:spacing w:line="242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yellow"/>
        </w:rPr>
      </w:pPr>
    </w:p>
    <w:tbl>
      <w:tblPr>
        <w:tblStyle w:val="aff3"/>
        <w:tblpPr w:leftFromText="180" w:rightFromText="180" w:vertAnchor="text" w:horzAnchor="margin" w:tblpY="135"/>
        <w:tblW w:w="9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2465"/>
      </w:tblGrid>
      <w:tr w:rsidR="003869BD">
        <w:trPr>
          <w:trHeight w:val="1421"/>
        </w:trPr>
        <w:tc>
          <w:tcPr>
            <w:tcW w:w="7470" w:type="dxa"/>
          </w:tcPr>
          <w:p w:rsidR="003869BD" w:rsidRDefault="001C41EA">
            <w:pP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 xml:space="preserve">Министр финансов </w:t>
            </w:r>
          </w:p>
          <w:p w:rsidR="003869BD" w:rsidRDefault="001C41EA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  <w:t xml:space="preserve">Саратовской области </w:t>
            </w:r>
          </w:p>
        </w:tc>
        <w:tc>
          <w:tcPr>
            <w:tcW w:w="2465" w:type="dxa"/>
          </w:tcPr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1C41EA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И.С. </w:t>
            </w:r>
            <w:proofErr w:type="spellStart"/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Бегинина</w:t>
            </w:r>
            <w:proofErr w:type="spellEnd"/>
          </w:p>
        </w:tc>
      </w:tr>
      <w:tr w:rsidR="003869BD">
        <w:trPr>
          <w:trHeight w:val="1909"/>
        </w:trPr>
        <w:tc>
          <w:tcPr>
            <w:tcW w:w="7470" w:type="dxa"/>
          </w:tcPr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1C41EA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Начальн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ик бюджетного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br/>
              <w:t>управления министерства</w:t>
            </w: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br/>
              <w:t>финансов Саратовской области</w:t>
            </w:r>
          </w:p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2465" w:type="dxa"/>
          </w:tcPr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1C41EA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</w:rPr>
              <w:t>О.В. Петрова</w:t>
            </w:r>
          </w:p>
        </w:tc>
      </w:tr>
      <w:tr w:rsidR="003869BD">
        <w:trPr>
          <w:trHeight w:val="997"/>
        </w:trPr>
        <w:tc>
          <w:tcPr>
            <w:tcW w:w="7470" w:type="dxa"/>
          </w:tcPr>
          <w:p w:rsidR="003869BD" w:rsidRDefault="001C41EA">
            <w:pPr>
              <w:shd w:val="clear" w:color="auto" w:fill="FFFFFF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Начальник управления </w:t>
            </w:r>
          </w:p>
          <w:p w:rsidR="003869BD" w:rsidRDefault="001C41EA">
            <w:pPr>
              <w:shd w:val="clear" w:color="auto" w:fill="FFFFFF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бюджетного учета и отчетности, </w:t>
            </w:r>
          </w:p>
          <w:p w:rsidR="003869BD" w:rsidRDefault="001C41EA">
            <w:pPr>
              <w:shd w:val="clear" w:color="auto" w:fill="FFFFFF"/>
              <w:jc w:val="both"/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 xml:space="preserve">главный бухгалтер министерства </w:t>
            </w:r>
          </w:p>
          <w:p w:rsidR="003869BD" w:rsidRDefault="001C41EA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финансов Саратовской области</w:t>
            </w:r>
          </w:p>
        </w:tc>
        <w:tc>
          <w:tcPr>
            <w:tcW w:w="2465" w:type="dxa"/>
          </w:tcPr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3869BD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</w:p>
          <w:p w:rsidR="003869BD" w:rsidRDefault="003869BD">
            <w:pPr>
              <w:rPr>
                <w:rFonts w:ascii="PT Astra Serif" w:hAnsi="PT Astra Serif" w:cs="PT Astra Serif"/>
                <w:b/>
                <w:sz w:val="28"/>
                <w:szCs w:val="28"/>
                <w:highlight w:val="white"/>
              </w:rPr>
            </w:pPr>
          </w:p>
          <w:p w:rsidR="003869BD" w:rsidRDefault="001C41EA">
            <w:pP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PT Astra Serif" w:hAnsi="PT Astra Serif" w:cs="PT Astra Serif"/>
                <w:b/>
                <w:bCs/>
                <w:sz w:val="28"/>
                <w:szCs w:val="28"/>
                <w:highlight w:val="white"/>
              </w:rPr>
              <w:t>А.С. Яшков</w:t>
            </w:r>
          </w:p>
        </w:tc>
      </w:tr>
    </w:tbl>
    <w:p w:rsidR="001C41EA" w:rsidRDefault="001C41EA" w:rsidP="001C41EA">
      <w:pPr>
        <w:widowControl w:val="0"/>
        <w:jc w:val="both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</w:p>
    <w:p w:rsidR="001C41EA" w:rsidRDefault="001C41EA" w:rsidP="001C41EA">
      <w:pPr>
        <w:widowControl w:val="0"/>
        <w:jc w:val="both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</w:p>
    <w:p w:rsidR="001C41EA" w:rsidRDefault="001C41EA" w:rsidP="001C41EA">
      <w:pPr>
        <w:widowControl w:val="0"/>
        <w:jc w:val="both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</w:p>
    <w:p w:rsidR="001C41EA" w:rsidRDefault="001C41EA" w:rsidP="001C41EA">
      <w:pPr>
        <w:widowControl w:val="0"/>
        <w:jc w:val="both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</w:p>
    <w:p w:rsidR="001C41EA" w:rsidRDefault="001C41EA" w:rsidP="001C41EA">
      <w:pPr>
        <w:widowControl w:val="0"/>
        <w:jc w:val="both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</w:p>
    <w:p w:rsidR="003869BD" w:rsidRPr="001C41EA" w:rsidRDefault="001C41EA" w:rsidP="001C41EA">
      <w:pPr>
        <w:widowControl w:val="0"/>
        <w:jc w:val="both"/>
        <w:rPr>
          <w:rFonts w:ascii="PT Astra Serif" w:hAnsi="PT Astra Serif" w:cs="PT Astra Serif"/>
          <w:b/>
          <w:bCs/>
          <w:sz w:val="28"/>
          <w:szCs w:val="28"/>
          <w:highlight w:val="white"/>
        </w:rPr>
      </w:pPr>
      <w:r w:rsidRPr="001C41EA">
        <w:rPr>
          <w:rFonts w:ascii="PT Astra Serif" w:hAnsi="PT Astra Serif" w:cs="PT Astra Serif"/>
          <w:b/>
          <w:bCs/>
          <w:sz w:val="28"/>
          <w:szCs w:val="28"/>
          <w:highlight w:val="white"/>
        </w:rPr>
        <w:t>"</w:t>
      </w:r>
      <w:r>
        <w:rPr>
          <w:rFonts w:ascii="PT Astra Serif" w:hAnsi="PT Astra Serif" w:cs="PT Astra Serif"/>
          <w:b/>
          <w:bCs/>
          <w:sz w:val="28"/>
          <w:szCs w:val="28"/>
          <w:highlight w:val="white"/>
          <w:lang w:val="en-US"/>
        </w:rPr>
        <w:t>28</w:t>
      </w:r>
      <w:r w:rsidRPr="001C41EA">
        <w:rPr>
          <w:rFonts w:ascii="PT Astra Serif" w:hAnsi="PT Astra Serif" w:cs="PT Astra Serif"/>
          <w:b/>
          <w:bCs/>
          <w:sz w:val="28"/>
          <w:szCs w:val="28"/>
          <w:highlight w:val="white"/>
        </w:rPr>
        <w:t xml:space="preserve">" </w:t>
      </w:r>
      <w:r>
        <w:rPr>
          <w:rFonts w:ascii="PT Astra Serif" w:hAnsi="PT Astra Serif" w:cs="PT Astra Serif"/>
          <w:b/>
          <w:bCs/>
          <w:sz w:val="28"/>
          <w:szCs w:val="28"/>
          <w:highlight w:val="white"/>
        </w:rPr>
        <w:t>марта</w:t>
      </w:r>
      <w:r w:rsidRPr="001C41EA">
        <w:rPr>
          <w:rFonts w:ascii="PT Astra Serif" w:hAnsi="PT Astra Serif" w:cs="PT Astra Serif"/>
          <w:b/>
          <w:bCs/>
          <w:sz w:val="28"/>
          <w:szCs w:val="28"/>
          <w:highlight w:val="white"/>
        </w:rPr>
        <w:t xml:space="preserve"> 2025 г.</w:t>
      </w:r>
      <w:bookmarkStart w:id="1" w:name="_GoBack"/>
      <w:bookmarkEnd w:id="1"/>
    </w:p>
    <w:sectPr w:rsidR="003869BD" w:rsidRPr="001C41EA">
      <w:headerReference w:type="even" r:id="rId9"/>
      <w:headerReference w:type="default" r:id="rId10"/>
      <w:pgSz w:w="11907" w:h="16840"/>
      <w:pgMar w:top="851" w:right="680" w:bottom="567" w:left="1361" w:header="454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9BD" w:rsidRDefault="001C41EA">
      <w:r>
        <w:separator/>
      </w:r>
    </w:p>
  </w:endnote>
  <w:endnote w:type="continuationSeparator" w:id="0">
    <w:p w:rsidR="003869BD" w:rsidRDefault="001C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9BD" w:rsidRDefault="001C41EA">
      <w:r>
        <w:separator/>
      </w:r>
    </w:p>
  </w:footnote>
  <w:footnote w:type="continuationSeparator" w:id="0">
    <w:p w:rsidR="003869BD" w:rsidRDefault="001C4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9BD" w:rsidRDefault="001C41EA">
    <w:pPr>
      <w:pStyle w:val="afd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separate"/>
    </w:r>
    <w:r>
      <w:rPr>
        <w:rStyle w:val="aff2"/>
      </w:rPr>
      <w:t>10</w:t>
    </w:r>
    <w:r>
      <w:rPr>
        <w:rStyle w:val="aff2"/>
      </w:rPr>
      <w:fldChar w:fldCharType="end"/>
    </w:r>
  </w:p>
  <w:p w:rsidR="003869BD" w:rsidRDefault="003869BD">
    <w:pPr>
      <w:pStyle w:val="af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728670"/>
      <w:docPartObj>
        <w:docPartGallery w:val="Page Numbers (Top of Page)"/>
        <w:docPartUnique/>
      </w:docPartObj>
    </w:sdtPr>
    <w:sdtEndPr/>
    <w:sdtContent>
      <w:p w:rsidR="003869BD" w:rsidRDefault="001C41EA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F566E"/>
    <w:multiLevelType w:val="hybridMultilevel"/>
    <w:tmpl w:val="E1AE6A30"/>
    <w:lvl w:ilvl="0" w:tplc="3FE0F12A">
      <w:start w:val="1"/>
      <w:numFmt w:val="bullet"/>
      <w:lvlText w:val="–"/>
      <w:lvlJc w:val="left"/>
      <w:pPr>
        <w:ind w:left="1135" w:hanging="360"/>
      </w:pPr>
      <w:rPr>
        <w:rFonts w:ascii="Arial" w:eastAsia="Arial" w:hAnsi="Arial" w:cs="Arial" w:hint="default"/>
      </w:rPr>
    </w:lvl>
    <w:lvl w:ilvl="1" w:tplc="85244CDA">
      <w:start w:val="1"/>
      <w:numFmt w:val="bullet"/>
      <w:lvlText w:val="o"/>
      <w:lvlJc w:val="left"/>
      <w:pPr>
        <w:ind w:left="1855" w:hanging="360"/>
      </w:pPr>
      <w:rPr>
        <w:rFonts w:ascii="Courier New" w:eastAsia="Courier New" w:hAnsi="Courier New" w:cs="Courier New" w:hint="default"/>
      </w:rPr>
    </w:lvl>
    <w:lvl w:ilvl="2" w:tplc="AF98CB06">
      <w:start w:val="1"/>
      <w:numFmt w:val="bullet"/>
      <w:lvlText w:val="§"/>
      <w:lvlJc w:val="left"/>
      <w:pPr>
        <w:ind w:left="2575" w:hanging="360"/>
      </w:pPr>
      <w:rPr>
        <w:rFonts w:ascii="Wingdings" w:eastAsia="Wingdings" w:hAnsi="Wingdings" w:cs="Wingdings" w:hint="default"/>
      </w:rPr>
    </w:lvl>
    <w:lvl w:ilvl="3" w:tplc="5E6A8DF0">
      <w:start w:val="1"/>
      <w:numFmt w:val="bullet"/>
      <w:lvlText w:val="·"/>
      <w:lvlJc w:val="left"/>
      <w:pPr>
        <w:ind w:left="3295" w:hanging="360"/>
      </w:pPr>
      <w:rPr>
        <w:rFonts w:ascii="Symbol" w:eastAsia="Symbol" w:hAnsi="Symbol" w:cs="Symbol" w:hint="default"/>
      </w:rPr>
    </w:lvl>
    <w:lvl w:ilvl="4" w:tplc="BC5A5894">
      <w:start w:val="1"/>
      <w:numFmt w:val="bullet"/>
      <w:lvlText w:val="o"/>
      <w:lvlJc w:val="left"/>
      <w:pPr>
        <w:ind w:left="4015" w:hanging="360"/>
      </w:pPr>
      <w:rPr>
        <w:rFonts w:ascii="Courier New" w:eastAsia="Courier New" w:hAnsi="Courier New" w:cs="Courier New" w:hint="default"/>
      </w:rPr>
    </w:lvl>
    <w:lvl w:ilvl="5" w:tplc="A1327776">
      <w:start w:val="1"/>
      <w:numFmt w:val="bullet"/>
      <w:lvlText w:val="§"/>
      <w:lvlJc w:val="left"/>
      <w:pPr>
        <w:ind w:left="4735" w:hanging="360"/>
      </w:pPr>
      <w:rPr>
        <w:rFonts w:ascii="Wingdings" w:eastAsia="Wingdings" w:hAnsi="Wingdings" w:cs="Wingdings" w:hint="default"/>
      </w:rPr>
    </w:lvl>
    <w:lvl w:ilvl="6" w:tplc="7A34B408">
      <w:start w:val="1"/>
      <w:numFmt w:val="bullet"/>
      <w:lvlText w:val="·"/>
      <w:lvlJc w:val="left"/>
      <w:pPr>
        <w:ind w:left="5455" w:hanging="360"/>
      </w:pPr>
      <w:rPr>
        <w:rFonts w:ascii="Symbol" w:eastAsia="Symbol" w:hAnsi="Symbol" w:cs="Symbol" w:hint="default"/>
      </w:rPr>
    </w:lvl>
    <w:lvl w:ilvl="7" w:tplc="449A3E14">
      <w:start w:val="1"/>
      <w:numFmt w:val="bullet"/>
      <w:lvlText w:val="o"/>
      <w:lvlJc w:val="left"/>
      <w:pPr>
        <w:ind w:left="6175" w:hanging="360"/>
      </w:pPr>
      <w:rPr>
        <w:rFonts w:ascii="Courier New" w:eastAsia="Courier New" w:hAnsi="Courier New" w:cs="Courier New" w:hint="default"/>
      </w:rPr>
    </w:lvl>
    <w:lvl w:ilvl="8" w:tplc="F5C05FF4">
      <w:start w:val="1"/>
      <w:numFmt w:val="bullet"/>
      <w:lvlText w:val="§"/>
      <w:lvlJc w:val="left"/>
      <w:pPr>
        <w:ind w:left="6895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BD"/>
    <w:rsid w:val="001C41EA"/>
    <w:rsid w:val="0038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Название Знак"/>
    <w:basedOn w:val="a0"/>
    <w:link w:val="a6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12">
    <w:name w:val="заголовок 1"/>
    <w:basedOn w:val="a"/>
    <w:next w:val="a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24">
    <w:name w:val="заголовок 2"/>
    <w:basedOn w:val="a"/>
    <w:next w:val="a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2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2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character" w:customStyle="1" w:styleId="af8">
    <w:name w:val="Основной шрифт"/>
  </w:style>
  <w:style w:type="paragraph" w:customStyle="1" w:styleId="a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a">
    <w:name w:val="Должность"/>
    <w:basedOn w:val="a"/>
    <w:next w:val="afb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af6">
    <w:name w:val="Код"/>
    <w:basedOn w:val="12"/>
    <w:next w:val="24"/>
    <w:pPr>
      <w:spacing w:before="0"/>
    </w:pPr>
    <w:rPr>
      <w:caps w:val="0"/>
      <w:spacing w:val="10"/>
      <w:sz w:val="28"/>
    </w:rPr>
  </w:style>
  <w:style w:type="paragraph" w:customStyle="1" w:styleId="afb">
    <w:name w:val="ФИО"/>
    <w:basedOn w:val="a"/>
    <w:next w:val="afa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c">
    <w:name w:val="оглл"/>
    <w:basedOn w:val="13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paragraph" w:customStyle="1" w:styleId="13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af7">
    <w:name w:val="Поселки"/>
    <w:basedOn w:val="32"/>
    <w:next w:val="afa"/>
    <w:pPr>
      <w:spacing w:before="0" w:after="120" w:line="240" w:lineRule="auto"/>
      <w:ind w:firstLine="0"/>
      <w:jc w:val="center"/>
    </w:pPr>
    <w:rPr>
      <w:sz w:val="20"/>
    </w:rPr>
  </w:style>
  <w:style w:type="paragraph" w:styleId="afd">
    <w:name w:val="header"/>
    <w:basedOn w:val="a"/>
    <w:link w:val="afe"/>
    <w:uiPriority w:val="99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paragraph" w:customStyle="1" w:styleId="Heading">
    <w:name w:val="Heading"/>
    <w:rPr>
      <w:b/>
      <w:sz w:val="24"/>
    </w:rPr>
  </w:style>
  <w:style w:type="paragraph" w:customStyle="1" w:styleId="Preformat">
    <w:name w:val="Preformat"/>
    <w:rPr>
      <w:rFonts w:ascii="Courier New" w:hAnsi="Courier New"/>
    </w:rPr>
  </w:style>
  <w:style w:type="paragraph" w:styleId="a6">
    <w:name w:val="Title"/>
    <w:basedOn w:val="a"/>
    <w:link w:val="a5"/>
    <w:qFormat/>
    <w:pPr>
      <w:ind w:firstLine="142"/>
      <w:jc w:val="center"/>
    </w:pPr>
    <w:rPr>
      <w:b/>
      <w:sz w:val="28"/>
    </w:rPr>
  </w:style>
  <w:style w:type="paragraph" w:styleId="aff">
    <w:name w:val="Body Text Indent"/>
    <w:basedOn w:val="a"/>
    <w:pPr>
      <w:ind w:firstLine="5670"/>
    </w:pPr>
    <w:rPr>
      <w:b/>
    </w:rPr>
  </w:style>
  <w:style w:type="paragraph" w:styleId="aff0">
    <w:name w:val="List"/>
    <w:basedOn w:val="a"/>
    <w:rPr>
      <w:rFonts w:ascii="Arial" w:hAnsi="Arial"/>
      <w:i/>
      <w:sz w:val="20"/>
    </w:rPr>
  </w:style>
  <w:style w:type="paragraph" w:styleId="aff1">
    <w:name w:val="Body Text"/>
    <w:basedOn w:val="a"/>
    <w:pPr>
      <w:jc w:val="both"/>
    </w:pPr>
  </w:style>
  <w:style w:type="paragraph" w:customStyle="1" w:styleId="Nonformat">
    <w:name w:val="Nonformat"/>
    <w:basedOn w:val="a"/>
    <w:rPr>
      <w:rFonts w:ascii="consultant" w:hAnsi="consultant"/>
      <w:sz w:val="20"/>
    </w:rPr>
  </w:style>
  <w:style w:type="character" w:styleId="aff2">
    <w:name w:val="page number"/>
    <w:basedOn w:val="a0"/>
  </w:style>
  <w:style w:type="table" w:styleId="af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pPr>
      <w:spacing w:line="348" w:lineRule="auto"/>
      <w:jc w:val="center"/>
    </w:pPr>
    <w:rPr>
      <w:sz w:val="24"/>
    </w:rPr>
  </w:style>
  <w:style w:type="paragraph" w:styleId="af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styleId="26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</w:pPr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styleId="aff5">
    <w:name w:val="Hyperlink"/>
    <w:basedOn w:val="a0"/>
    <w:rPr>
      <w:color w:val="0000FF"/>
      <w:u w:val="single"/>
    </w:rPr>
  </w:style>
  <w:style w:type="paragraph" w:customStyle="1" w:styleId="ConsPlusCell">
    <w:name w:val="ConsPlusCell"/>
    <w:uiPriority w:val="99"/>
    <w:rPr>
      <w:rFonts w:eastAsiaTheme="minorHAnsi"/>
      <w:sz w:val="28"/>
      <w:szCs w:val="28"/>
      <w:lang w:eastAsia="en-US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Pr>
      <w:sz w:val="26"/>
    </w:rPr>
  </w:style>
  <w:style w:type="character" w:customStyle="1" w:styleId="afe">
    <w:name w:val="Верхний колонтитул Знак"/>
    <w:basedOn w:val="a0"/>
    <w:link w:val="afd"/>
    <w:uiPriority w:val="99"/>
    <w:rPr>
      <w:sz w:val="28"/>
    </w:rPr>
  </w:style>
  <w:style w:type="character" w:customStyle="1" w:styleId="span-8-c">
    <w:name w:val="span-8-c"/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a5">
    <w:name w:val="Название Знак"/>
    <w:basedOn w:val="a0"/>
    <w:link w:val="a6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12">
    <w:name w:val="заголовок 1"/>
    <w:basedOn w:val="a"/>
    <w:next w:val="a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24">
    <w:name w:val="заголовок 2"/>
    <w:basedOn w:val="a"/>
    <w:next w:val="a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2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2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character" w:customStyle="1" w:styleId="af8">
    <w:name w:val="Основной шрифт"/>
  </w:style>
  <w:style w:type="paragraph" w:customStyle="1" w:styleId="a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a">
    <w:name w:val="Должность"/>
    <w:basedOn w:val="a"/>
    <w:next w:val="afb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af6">
    <w:name w:val="Код"/>
    <w:basedOn w:val="12"/>
    <w:next w:val="24"/>
    <w:pPr>
      <w:spacing w:before="0"/>
    </w:pPr>
    <w:rPr>
      <w:caps w:val="0"/>
      <w:spacing w:val="10"/>
      <w:sz w:val="28"/>
    </w:rPr>
  </w:style>
  <w:style w:type="paragraph" w:customStyle="1" w:styleId="afb">
    <w:name w:val="ФИО"/>
    <w:basedOn w:val="a"/>
    <w:next w:val="afa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c">
    <w:name w:val="оглл"/>
    <w:basedOn w:val="13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paragraph" w:customStyle="1" w:styleId="13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af7">
    <w:name w:val="Поселки"/>
    <w:basedOn w:val="32"/>
    <w:next w:val="afa"/>
    <w:pPr>
      <w:spacing w:before="0" w:after="120" w:line="240" w:lineRule="auto"/>
      <w:ind w:firstLine="0"/>
      <w:jc w:val="center"/>
    </w:pPr>
    <w:rPr>
      <w:sz w:val="20"/>
    </w:rPr>
  </w:style>
  <w:style w:type="paragraph" w:styleId="afd">
    <w:name w:val="header"/>
    <w:basedOn w:val="a"/>
    <w:link w:val="afe"/>
    <w:uiPriority w:val="99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sz w:val="28"/>
    </w:rPr>
  </w:style>
  <w:style w:type="paragraph" w:customStyle="1" w:styleId="Heading">
    <w:name w:val="Heading"/>
    <w:rPr>
      <w:b/>
      <w:sz w:val="24"/>
    </w:rPr>
  </w:style>
  <w:style w:type="paragraph" w:customStyle="1" w:styleId="Preformat">
    <w:name w:val="Preformat"/>
    <w:rPr>
      <w:rFonts w:ascii="Courier New" w:hAnsi="Courier New"/>
    </w:rPr>
  </w:style>
  <w:style w:type="paragraph" w:styleId="a6">
    <w:name w:val="Title"/>
    <w:basedOn w:val="a"/>
    <w:link w:val="a5"/>
    <w:qFormat/>
    <w:pPr>
      <w:ind w:firstLine="142"/>
      <w:jc w:val="center"/>
    </w:pPr>
    <w:rPr>
      <w:b/>
      <w:sz w:val="28"/>
    </w:rPr>
  </w:style>
  <w:style w:type="paragraph" w:styleId="aff">
    <w:name w:val="Body Text Indent"/>
    <w:basedOn w:val="a"/>
    <w:pPr>
      <w:ind w:firstLine="5670"/>
    </w:pPr>
    <w:rPr>
      <w:b/>
    </w:rPr>
  </w:style>
  <w:style w:type="paragraph" w:styleId="aff0">
    <w:name w:val="List"/>
    <w:basedOn w:val="a"/>
    <w:rPr>
      <w:rFonts w:ascii="Arial" w:hAnsi="Arial"/>
      <w:i/>
      <w:sz w:val="20"/>
    </w:rPr>
  </w:style>
  <w:style w:type="paragraph" w:styleId="aff1">
    <w:name w:val="Body Text"/>
    <w:basedOn w:val="a"/>
    <w:pPr>
      <w:jc w:val="both"/>
    </w:pPr>
  </w:style>
  <w:style w:type="paragraph" w:customStyle="1" w:styleId="Nonformat">
    <w:name w:val="Nonformat"/>
    <w:basedOn w:val="a"/>
    <w:rPr>
      <w:rFonts w:ascii="consultant" w:hAnsi="consultant"/>
      <w:sz w:val="20"/>
    </w:rPr>
  </w:style>
  <w:style w:type="character" w:styleId="aff2">
    <w:name w:val="page number"/>
    <w:basedOn w:val="a0"/>
  </w:style>
  <w:style w:type="table" w:styleId="af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pPr>
      <w:spacing w:line="348" w:lineRule="auto"/>
      <w:jc w:val="center"/>
    </w:pPr>
    <w:rPr>
      <w:sz w:val="24"/>
    </w:rPr>
  </w:style>
  <w:style w:type="paragraph" w:styleId="af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styleId="26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</w:pPr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styleId="aff5">
    <w:name w:val="Hyperlink"/>
    <w:basedOn w:val="a0"/>
    <w:rPr>
      <w:color w:val="0000FF"/>
      <w:u w:val="single"/>
    </w:rPr>
  </w:style>
  <w:style w:type="paragraph" w:customStyle="1" w:styleId="ConsPlusCell">
    <w:name w:val="ConsPlusCell"/>
    <w:uiPriority w:val="99"/>
    <w:rPr>
      <w:rFonts w:eastAsiaTheme="minorHAnsi"/>
      <w:sz w:val="28"/>
      <w:szCs w:val="28"/>
      <w:lang w:eastAsia="en-US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Pr>
      <w:sz w:val="26"/>
    </w:rPr>
  </w:style>
  <w:style w:type="character" w:customStyle="1" w:styleId="afe">
    <w:name w:val="Верхний колонтитул Знак"/>
    <w:basedOn w:val="a0"/>
    <w:link w:val="afd"/>
    <w:uiPriority w:val="99"/>
    <w:rPr>
      <w:sz w:val="28"/>
    </w:rPr>
  </w:style>
  <w:style w:type="character" w:customStyle="1" w:styleId="span-8-c">
    <w:name w:val="span-8-c"/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23E89-368B-4617-A911-0CD2CF77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8194</Words>
  <Characters>46712</Characters>
  <Application>Microsoft Office Word</Application>
  <DocSecurity>0</DocSecurity>
  <Lines>389</Lines>
  <Paragraphs>109</Paragraphs>
  <ScaleCrop>false</ScaleCrop>
  <Company>Elcom Ltd</Company>
  <LinksUpToDate>false</LinksUpToDate>
  <CharactersWithSpaces>54797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ппррррфР</dc:title>
  <dc:creator>Гуреева</dc:creator>
  <cp:lastModifiedBy>Хохлова Анна Юрьевна</cp:lastModifiedBy>
  <cp:revision>64</cp:revision>
  <dcterms:created xsi:type="dcterms:W3CDTF">2021-03-31T08:41:00Z</dcterms:created>
  <dcterms:modified xsi:type="dcterms:W3CDTF">2025-05-13T12:16:00Z</dcterms:modified>
</cp:coreProperties>
</file>